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8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535509863"/>
      <w:bookmarkStart w:id="1" w:name="_Hlk524678944"/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Электронный аукцион будет проводиться </w:t>
      </w:r>
      <w:r w:rsidR="004440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06 мая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2020 года</w:t>
      </w:r>
      <w:r w:rsidRPr="003A078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 1</w:t>
      </w:r>
      <w:r w:rsidR="00B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:00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7" w:history="1"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www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lot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-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online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Организатор торгов – АО «Российский аукционный дом».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 заявок с 31.03.2020 по </w:t>
      </w:r>
      <w:r w:rsidR="004440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.04.2020 до 15:00.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Задаток должен поступить на счет Организатора торгов не позднее </w:t>
      </w:r>
      <w:r w:rsidR="004440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29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.04.2020.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Допуск претендентов к электронному аукциону осуществляется </w:t>
      </w:r>
      <w:r w:rsidR="004440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.04.2020.</w:t>
      </w:r>
      <w:bookmarkEnd w:id="0"/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0068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Pr="000733B8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</w:t>
      </w:r>
      <w:r w:rsidR="002E145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bookmarkEnd w:id="1"/>
    <w:p w:rsidR="000538C1" w:rsidRPr="000733B8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:rsidR="00B556C5" w:rsidRPr="004E0744" w:rsidRDefault="00B556C5" w:rsidP="00B556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</w:pPr>
      <w:r w:rsidRPr="004E0744"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:rsidR="00B556C5" w:rsidRPr="00107E73" w:rsidRDefault="00B556C5" w:rsidP="00B556C5">
      <w:pPr>
        <w:pStyle w:val="21"/>
        <w:widowControl/>
        <w:ind w:left="0" w:firstLine="0"/>
        <w:rPr>
          <w:sz w:val="24"/>
          <w:szCs w:val="24"/>
        </w:rPr>
      </w:pPr>
      <w:bookmarkStart w:id="2" w:name="_Hlk502319468"/>
      <w:bookmarkStart w:id="3" w:name="_Hlk17271451"/>
      <w:r w:rsidRPr="00107E73">
        <w:rPr>
          <w:sz w:val="24"/>
          <w:szCs w:val="24"/>
        </w:rPr>
        <w:t xml:space="preserve">Объект 1: </w:t>
      </w:r>
      <w:bookmarkEnd w:id="2"/>
      <w:r>
        <w:rPr>
          <w:rFonts w:cs="Times New Roman"/>
          <w:sz w:val="24"/>
          <w:szCs w:val="24"/>
        </w:rPr>
        <w:t>З</w:t>
      </w:r>
      <w:r w:rsidRPr="000369FD">
        <w:rPr>
          <w:rFonts w:cs="Times New Roman"/>
          <w:sz w:val="24"/>
          <w:szCs w:val="24"/>
        </w:rPr>
        <w:t>дание Сбербанка, назначение: нежилое,</w:t>
      </w:r>
      <w:r>
        <w:rPr>
          <w:rFonts w:cs="Times New Roman"/>
          <w:sz w:val="24"/>
          <w:szCs w:val="24"/>
        </w:rPr>
        <w:t xml:space="preserve"> п</w:t>
      </w:r>
      <w:r w:rsidRPr="000369FD">
        <w:rPr>
          <w:rFonts w:cs="Times New Roman"/>
          <w:sz w:val="24"/>
          <w:szCs w:val="24"/>
        </w:rPr>
        <w:t>лощадь</w:t>
      </w:r>
      <w:r>
        <w:rPr>
          <w:rFonts w:cs="Times New Roman"/>
          <w:sz w:val="24"/>
          <w:szCs w:val="24"/>
        </w:rPr>
        <w:t>:</w:t>
      </w:r>
      <w:r w:rsidRPr="000369FD">
        <w:rPr>
          <w:rFonts w:cs="Times New Roman"/>
          <w:sz w:val="24"/>
          <w:szCs w:val="24"/>
        </w:rPr>
        <w:t xml:space="preserve"> 856,03 </w:t>
      </w:r>
      <w:proofErr w:type="gramStart"/>
      <w:r w:rsidRPr="000369FD">
        <w:rPr>
          <w:rFonts w:cs="Times New Roman"/>
          <w:sz w:val="24"/>
          <w:szCs w:val="24"/>
        </w:rPr>
        <w:t>кв.м</w:t>
      </w:r>
      <w:proofErr w:type="gramEnd"/>
      <w:r w:rsidRPr="000369FD">
        <w:rPr>
          <w:rFonts w:cs="Times New Roman"/>
          <w:sz w:val="24"/>
          <w:szCs w:val="24"/>
        </w:rPr>
        <w:t>, количество этажей: 2, в том числе подземных: 1, кадастровый номер: 73:04:030113:405</w:t>
      </w:r>
      <w:r>
        <w:rPr>
          <w:rFonts w:cs="Times New Roman"/>
          <w:sz w:val="24"/>
          <w:szCs w:val="24"/>
        </w:rPr>
        <w:t xml:space="preserve">, </w:t>
      </w:r>
      <w:r w:rsidRPr="000369FD">
        <w:rPr>
          <w:rFonts w:cs="Times New Roman"/>
          <w:sz w:val="24"/>
          <w:szCs w:val="24"/>
        </w:rPr>
        <w:t xml:space="preserve">расположенное по адресу: Ульяновская обл., </w:t>
      </w:r>
      <w:r>
        <w:rPr>
          <w:rFonts w:cs="Times New Roman"/>
          <w:sz w:val="24"/>
          <w:szCs w:val="24"/>
        </w:rPr>
        <w:t xml:space="preserve">р-н Инзенский, </w:t>
      </w:r>
      <w:r w:rsidRPr="000369FD">
        <w:rPr>
          <w:rFonts w:cs="Times New Roman"/>
          <w:sz w:val="24"/>
          <w:szCs w:val="24"/>
        </w:rPr>
        <w:t>г. Инза, ул. Труда, д. 17</w:t>
      </w:r>
      <w:r w:rsidRPr="00107E73">
        <w:rPr>
          <w:sz w:val="24"/>
          <w:szCs w:val="24"/>
        </w:rPr>
        <w:t>,</w:t>
      </w:r>
    </w:p>
    <w:p w:rsidR="00B556C5" w:rsidRPr="007151A5" w:rsidRDefault="00B556C5" w:rsidP="00B556C5">
      <w:pPr>
        <w:pStyle w:val="21"/>
        <w:widowControl/>
        <w:ind w:left="0" w:firstLine="0"/>
        <w:rPr>
          <w:sz w:val="24"/>
          <w:szCs w:val="24"/>
        </w:rPr>
      </w:pPr>
      <w:r w:rsidRPr="007151A5">
        <w:rPr>
          <w:sz w:val="24"/>
          <w:szCs w:val="24"/>
        </w:rPr>
        <w:t xml:space="preserve">Объект 2: </w:t>
      </w:r>
      <w:r>
        <w:rPr>
          <w:sz w:val="24"/>
          <w:szCs w:val="24"/>
        </w:rPr>
        <w:t>З</w:t>
      </w:r>
      <w:r w:rsidRPr="00107E73">
        <w:rPr>
          <w:sz w:val="24"/>
          <w:szCs w:val="24"/>
        </w:rPr>
        <w:t>емельный участок</w:t>
      </w:r>
      <w:r>
        <w:rPr>
          <w:sz w:val="24"/>
          <w:szCs w:val="24"/>
        </w:rPr>
        <w:t xml:space="preserve">, </w:t>
      </w:r>
      <w:r w:rsidRPr="00107E73">
        <w:rPr>
          <w:sz w:val="24"/>
          <w:szCs w:val="24"/>
        </w:rPr>
        <w:t>площадь</w:t>
      </w:r>
      <w:r>
        <w:rPr>
          <w:sz w:val="24"/>
          <w:szCs w:val="24"/>
        </w:rPr>
        <w:t>:</w:t>
      </w:r>
      <w:r w:rsidRPr="00107E73">
        <w:rPr>
          <w:sz w:val="24"/>
          <w:szCs w:val="24"/>
        </w:rPr>
        <w:t xml:space="preserve"> 751 </w:t>
      </w:r>
      <w:proofErr w:type="gramStart"/>
      <w:r w:rsidRPr="00107E73">
        <w:rPr>
          <w:sz w:val="24"/>
          <w:szCs w:val="24"/>
        </w:rPr>
        <w:t>кв.м</w:t>
      </w:r>
      <w:proofErr w:type="gramEnd"/>
      <w:r w:rsidRPr="00107E73">
        <w:rPr>
          <w:sz w:val="24"/>
          <w:szCs w:val="24"/>
        </w:rPr>
        <w:t xml:space="preserve">, категория земель: земли </w:t>
      </w:r>
      <w:r>
        <w:rPr>
          <w:sz w:val="24"/>
          <w:szCs w:val="24"/>
        </w:rPr>
        <w:t>населенных пунктов</w:t>
      </w:r>
      <w:r w:rsidRPr="00107E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виды разрешенного использования:  для производственных целей, </w:t>
      </w:r>
      <w:r w:rsidRPr="00E23672">
        <w:rPr>
          <w:sz w:val="24"/>
          <w:szCs w:val="24"/>
        </w:rPr>
        <w:t>кадастровый номер: 73:04:030113:75</w:t>
      </w:r>
      <w:r>
        <w:rPr>
          <w:sz w:val="24"/>
          <w:szCs w:val="24"/>
        </w:rPr>
        <w:t xml:space="preserve">, </w:t>
      </w:r>
      <w:r w:rsidRPr="00107E73">
        <w:rPr>
          <w:sz w:val="24"/>
          <w:szCs w:val="24"/>
        </w:rPr>
        <w:t>расположенный по адресу: Ульяновская обл., г</w:t>
      </w:r>
      <w:r>
        <w:rPr>
          <w:sz w:val="24"/>
          <w:szCs w:val="24"/>
        </w:rPr>
        <w:t>.</w:t>
      </w:r>
      <w:r w:rsidRPr="00107E73">
        <w:rPr>
          <w:sz w:val="24"/>
          <w:szCs w:val="24"/>
        </w:rPr>
        <w:t xml:space="preserve"> Инза, ул</w:t>
      </w:r>
      <w:r>
        <w:rPr>
          <w:sz w:val="24"/>
          <w:szCs w:val="24"/>
        </w:rPr>
        <w:t>.</w:t>
      </w:r>
      <w:r w:rsidRPr="00107E73">
        <w:rPr>
          <w:sz w:val="24"/>
          <w:szCs w:val="24"/>
        </w:rPr>
        <w:t xml:space="preserve"> Труда, д</w:t>
      </w:r>
      <w:r>
        <w:rPr>
          <w:sz w:val="24"/>
          <w:szCs w:val="24"/>
        </w:rPr>
        <w:t xml:space="preserve">ом </w:t>
      </w:r>
      <w:r w:rsidRPr="00107E73">
        <w:rPr>
          <w:sz w:val="24"/>
          <w:szCs w:val="24"/>
        </w:rPr>
        <w:t>17</w:t>
      </w:r>
    </w:p>
    <w:bookmarkEnd w:id="3"/>
    <w:p w:rsidR="00B556C5" w:rsidRPr="004E0744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556C5" w:rsidRPr="004E0744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Лота №1 – </w:t>
      </w:r>
      <w:r w:rsidRPr="00B556C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8 756 353 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20%, в том числе:</w:t>
      </w:r>
    </w:p>
    <w:p w:rsidR="00B556C5" w:rsidRPr="004E0744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Объекта 1 – </w:t>
      </w:r>
      <w:r w:rsidRPr="00B556C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8 613 153 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20%.</w:t>
      </w:r>
    </w:p>
    <w:p w:rsidR="00B556C5" w:rsidRPr="004E0744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Объекта 2 – 1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43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00 руб., НДС не облагается.</w:t>
      </w:r>
    </w:p>
    <w:p w:rsidR="00B556C5" w:rsidRPr="004E0744" w:rsidRDefault="00B556C5" w:rsidP="00B556C5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875 635</w:t>
      </w:r>
      <w:r w:rsidRPr="004E0744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руб.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 коп.</w:t>
      </w:r>
    </w:p>
    <w:p w:rsidR="00B556C5" w:rsidRPr="004E0744" w:rsidRDefault="00B556C5" w:rsidP="00B556C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Шаг аукциона –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400 000</w:t>
      </w:r>
      <w:r w:rsidRPr="004E07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руб. </w:t>
      </w:r>
    </w:p>
    <w:p w:rsidR="00B556C5" w:rsidRPr="004E0744" w:rsidRDefault="00B556C5" w:rsidP="00B556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</w:pPr>
    </w:p>
    <w:p w:rsidR="00B556C5" w:rsidRPr="00C60835" w:rsidRDefault="00B556C5" w:rsidP="00B556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60835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</w:p>
    <w:p w:rsidR="00B556C5" w:rsidRPr="00C60835" w:rsidRDefault="00B556C5" w:rsidP="00B556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</w:t>
      </w:r>
      <w:r w:rsidRPr="00C60835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обязательным условием является заключение с Победителем/Единственным участником аукциона 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договора аренды нежилых помещений общей площадью не более 221,1 кв.м и земельного участка одновременно с заключением договора купли продажи для размещения КИЦ и офисных сотрудников: на 1 этаже - площадью не более 185,7 кв.м, из них: 1 этаж – 140,00 кв.м, гараж – 45,7 кв.м (арендная ставка по 1 этажу 300 руб./кв.м с НДС 20% без учета коммунальных платежей; арендная ставка по гаражу 77 руб./кв.м с НДС 20% без учета коммунальных платежей), на 2 этаже - площадью не более 13,6 кв.м (арендная ставка по 2 этажу 232 руб./кв.м с НДС 20% без учета коммунальных платежей), в подвале - площадью не более 21,8 кв.м (арендная ставка по подвалу 113 руб./кв. м. с НДС 20% без учета коммунальных платежей), земельный участок - площадью 99 кв.м (арендная ставка 25,2 руб./кв.м), со  сроком аренды - 10 (Десять) лет с даты подписания Сторонами Акта приема-передачи Объектов в аренду;</w:t>
      </w:r>
    </w:p>
    <w:p w:rsidR="00B556C5" w:rsidRPr="00C60835" w:rsidRDefault="00B556C5" w:rsidP="00B556C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ru-RU" w:bidi="hi-IN"/>
        </w:rPr>
      </w:pPr>
      <w:r w:rsidRPr="00C6083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Арендодатель обязан предоставить доступ в помещения Объекта 1, являющиеся местами общего пользования, а именно: на 1 этаже – в нежилые помещения № 33 (площадью 12,9 кв.м.), № 66 (площадью 22,9 кв.м.); на 2 этаже – в нежилые помещения № 42 (площадью 12,8 кв.м.), № 85 (площадью 13,7 кв.м.); в подвале – в нежилые помещения № 1 (площадью 8,0 кв.м.), № 3 (площадью 3,2 кв.м.)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6083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на поэтажном плане.</w:t>
      </w:r>
      <w:r w:rsidRPr="00C60835">
        <w:rPr>
          <w:rFonts w:ascii="Times New Roman" w:eastAsia="SimSun" w:hAnsi="Times New Roman" w:cs="Tahoma"/>
          <w:kern w:val="1"/>
          <w:sz w:val="26"/>
          <w:szCs w:val="26"/>
          <w:lang w:eastAsia="ru-RU" w:bidi="hi-IN"/>
        </w:rPr>
        <w:t xml:space="preserve"> Р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ru-RU" w:bidi="hi-IN"/>
        </w:rPr>
        <w:t>асходы, связанные с эксплуатацией мест общего пользования, оплачиваются Арендатором пропорционально занимаемой площади;</w:t>
      </w:r>
    </w:p>
    <w:p w:rsidR="00B556C5" w:rsidRPr="00C60835" w:rsidRDefault="00B556C5" w:rsidP="00B556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6083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Обязательным условием является 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условие о возможности временного блокирования работниками подразделения охраны помещения № 66 для обеспечения производственных задач кассово-</w:t>
      </w: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>инкассаторского центра (КИЦ), а также обеспечение разделения и обособления путей перемещения работников подразделения инкассации и посторонних лиц с помощью системы блокирования дверей из помещений № 17 и № 33 в помещение № 66 (коридор);</w:t>
      </w:r>
    </w:p>
    <w:p w:rsidR="00B556C5" w:rsidRPr="00C60835" w:rsidRDefault="00B556C5" w:rsidP="00B556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608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- Объект 1 реализовывается после проведения перепланировки до оформления собственником необходимых технических, правоустанавливающих документов на Объект 1 после проведения данной перепланировки с новыми характеристиками. Поэтажный план Объекта 1 до и после перепланировки приведен в аукционной документации. </w:t>
      </w:r>
    </w:p>
    <w:p w:rsidR="006200EE" w:rsidRPr="006A29D9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485A93" w:rsidRPr="006A29D9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(в случае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до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33586" w:rsidRPr="00133586" w:rsidRDefault="006A29D9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9D9" w:rsidRPr="006A29D9" w:rsidRDefault="00133586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6A29D9" w:rsidRPr="006A29D9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7C5EB5" w:rsidRPr="007C5EB5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:rsidR="006A29D9" w:rsidRPr="006A29D9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6A29D9" w:rsidRPr="006A29D9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17FC3" w:rsidRDefault="00917FC3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 w:rsidR="0091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5EB5" w:rsidRPr="007C5EB5">
        <w:t xml:space="preserve"> 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4"/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5"/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="00E304EB" w:rsidRPr="00E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Ульяновск, ул. Андрея Блаженного, д. 15, тел. 8 800 70 700 70 (доб. 57926389) Кочегарова Елена Николаевна</w:t>
      </w:r>
      <w:bookmarkStart w:id="6" w:name="_GoBack"/>
      <w:bookmarkEnd w:id="6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A29D9" w:rsidRPr="006A29D9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7"/>
    <w:p w:rsidR="006200EE" w:rsidRP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Покупателем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обедителем аукциона,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динственным участником аукциона) производится путем безналичного перечисления денежных средств на счет Продавца в течение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Деся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ти) рабочих дней с даты подписания договора купли-продажи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:rsid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10 (Десяти) рабочих дней с даты оплаты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Продавец передает Объект</w:t>
      </w:r>
      <w:r w:rsidR="001F3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Покупателю по акту приема-передачи.</w:t>
      </w:r>
    </w:p>
    <w:p w:rsidR="006A29D9" w:rsidRPr="006A29D9" w:rsidRDefault="006A29D9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:rsidR="006A29D9" w:rsidRPr="006A29D9" w:rsidRDefault="006A29D9" w:rsidP="00485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875B82">
      <w:headerReference w:type="default" r:id="rId12"/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D9C" w:rsidRDefault="00ED5D9C" w:rsidP="00603CB3">
      <w:pPr>
        <w:spacing w:after="0" w:line="240" w:lineRule="auto"/>
      </w:pPr>
      <w:r>
        <w:separator/>
      </w:r>
    </w:p>
  </w:endnote>
  <w:endnote w:type="continuationSeparator" w:id="0">
    <w:p w:rsidR="00ED5D9C" w:rsidRDefault="00ED5D9C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D9C" w:rsidRDefault="00ED5D9C" w:rsidP="00603CB3">
      <w:pPr>
        <w:spacing w:after="0" w:line="240" w:lineRule="auto"/>
      </w:pPr>
      <w:r>
        <w:separator/>
      </w:r>
    </w:p>
  </w:footnote>
  <w:footnote w:type="continuationSeparator" w:id="0">
    <w:p w:rsidR="00ED5D9C" w:rsidRDefault="00ED5D9C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811"/>
    <w:rsid w:val="000156E1"/>
    <w:rsid w:val="000205F4"/>
    <w:rsid w:val="00022EF7"/>
    <w:rsid w:val="00026BD0"/>
    <w:rsid w:val="00042ADA"/>
    <w:rsid w:val="000538C1"/>
    <w:rsid w:val="00062A57"/>
    <w:rsid w:val="00072B87"/>
    <w:rsid w:val="000733B8"/>
    <w:rsid w:val="00086465"/>
    <w:rsid w:val="00087D7D"/>
    <w:rsid w:val="000925C2"/>
    <w:rsid w:val="000A4CC5"/>
    <w:rsid w:val="000A4DB0"/>
    <w:rsid w:val="000A599F"/>
    <w:rsid w:val="000B6EEC"/>
    <w:rsid w:val="000D456E"/>
    <w:rsid w:val="00131808"/>
    <w:rsid w:val="00133586"/>
    <w:rsid w:val="00133DAD"/>
    <w:rsid w:val="00167417"/>
    <w:rsid w:val="0018753A"/>
    <w:rsid w:val="00196467"/>
    <w:rsid w:val="001A5226"/>
    <w:rsid w:val="001B001B"/>
    <w:rsid w:val="001B366D"/>
    <w:rsid w:val="001E6CE7"/>
    <w:rsid w:val="001F24E3"/>
    <w:rsid w:val="001F3DE7"/>
    <w:rsid w:val="001F71DC"/>
    <w:rsid w:val="00242987"/>
    <w:rsid w:val="0025263F"/>
    <w:rsid w:val="00257A78"/>
    <w:rsid w:val="00263511"/>
    <w:rsid w:val="0027052E"/>
    <w:rsid w:val="00273536"/>
    <w:rsid w:val="00291080"/>
    <w:rsid w:val="00296576"/>
    <w:rsid w:val="00297E5A"/>
    <w:rsid w:val="002A28C7"/>
    <w:rsid w:val="002B63BD"/>
    <w:rsid w:val="002C3B00"/>
    <w:rsid w:val="002C5DF3"/>
    <w:rsid w:val="002E1458"/>
    <w:rsid w:val="002E5738"/>
    <w:rsid w:val="002E5F65"/>
    <w:rsid w:val="002E6378"/>
    <w:rsid w:val="00312E72"/>
    <w:rsid w:val="00316971"/>
    <w:rsid w:val="003337AC"/>
    <w:rsid w:val="00336733"/>
    <w:rsid w:val="00356ADB"/>
    <w:rsid w:val="00387BEB"/>
    <w:rsid w:val="003918EA"/>
    <w:rsid w:val="003931C0"/>
    <w:rsid w:val="003A0784"/>
    <w:rsid w:val="003A3A3D"/>
    <w:rsid w:val="003A6E37"/>
    <w:rsid w:val="003B7368"/>
    <w:rsid w:val="003C3562"/>
    <w:rsid w:val="003D335E"/>
    <w:rsid w:val="00421953"/>
    <w:rsid w:val="00427B6E"/>
    <w:rsid w:val="00432625"/>
    <w:rsid w:val="00444047"/>
    <w:rsid w:val="004466F5"/>
    <w:rsid w:val="004521AA"/>
    <w:rsid w:val="00453AE3"/>
    <w:rsid w:val="00456A37"/>
    <w:rsid w:val="00485A93"/>
    <w:rsid w:val="004A3E29"/>
    <w:rsid w:val="004A55DE"/>
    <w:rsid w:val="004A7EB1"/>
    <w:rsid w:val="004C53F5"/>
    <w:rsid w:val="004E0ACF"/>
    <w:rsid w:val="004E54F7"/>
    <w:rsid w:val="005048FC"/>
    <w:rsid w:val="0052126E"/>
    <w:rsid w:val="00530D26"/>
    <w:rsid w:val="00533E28"/>
    <w:rsid w:val="0055597A"/>
    <w:rsid w:val="00567AEC"/>
    <w:rsid w:val="00570E52"/>
    <w:rsid w:val="00577C79"/>
    <w:rsid w:val="005A29D8"/>
    <w:rsid w:val="005A5F39"/>
    <w:rsid w:val="005A718B"/>
    <w:rsid w:val="005E60F4"/>
    <w:rsid w:val="00603CB3"/>
    <w:rsid w:val="00605C43"/>
    <w:rsid w:val="006200EE"/>
    <w:rsid w:val="006542EE"/>
    <w:rsid w:val="00673B4E"/>
    <w:rsid w:val="006A29D9"/>
    <w:rsid w:val="006B003C"/>
    <w:rsid w:val="006D00A7"/>
    <w:rsid w:val="006E08C9"/>
    <w:rsid w:val="006E14EF"/>
    <w:rsid w:val="006E449D"/>
    <w:rsid w:val="0070022F"/>
    <w:rsid w:val="00717070"/>
    <w:rsid w:val="00721C0A"/>
    <w:rsid w:val="0072580C"/>
    <w:rsid w:val="00783871"/>
    <w:rsid w:val="0078481C"/>
    <w:rsid w:val="00794F94"/>
    <w:rsid w:val="007974B5"/>
    <w:rsid w:val="007A44A2"/>
    <w:rsid w:val="007C5EB5"/>
    <w:rsid w:val="007D1FF0"/>
    <w:rsid w:val="007E45AD"/>
    <w:rsid w:val="007F2078"/>
    <w:rsid w:val="008100BE"/>
    <w:rsid w:val="00831BD5"/>
    <w:rsid w:val="00835DDD"/>
    <w:rsid w:val="0086778F"/>
    <w:rsid w:val="00872DF0"/>
    <w:rsid w:val="00875B82"/>
    <w:rsid w:val="0088575B"/>
    <w:rsid w:val="008A6DBD"/>
    <w:rsid w:val="008D7828"/>
    <w:rsid w:val="00917FC3"/>
    <w:rsid w:val="0092088A"/>
    <w:rsid w:val="00921013"/>
    <w:rsid w:val="009431DF"/>
    <w:rsid w:val="00945EBD"/>
    <w:rsid w:val="00946A91"/>
    <w:rsid w:val="00950E23"/>
    <w:rsid w:val="009671B0"/>
    <w:rsid w:val="00970FB9"/>
    <w:rsid w:val="009777D4"/>
    <w:rsid w:val="00981A59"/>
    <w:rsid w:val="0098217F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14493"/>
    <w:rsid w:val="00A27C77"/>
    <w:rsid w:val="00A7524B"/>
    <w:rsid w:val="00A76390"/>
    <w:rsid w:val="00A76E6E"/>
    <w:rsid w:val="00AD0D41"/>
    <w:rsid w:val="00AE08AD"/>
    <w:rsid w:val="00AE4E90"/>
    <w:rsid w:val="00B03394"/>
    <w:rsid w:val="00B13CB6"/>
    <w:rsid w:val="00B17EB5"/>
    <w:rsid w:val="00B41108"/>
    <w:rsid w:val="00B47086"/>
    <w:rsid w:val="00B5274C"/>
    <w:rsid w:val="00B5287B"/>
    <w:rsid w:val="00B55588"/>
    <w:rsid w:val="00B556C5"/>
    <w:rsid w:val="00B56722"/>
    <w:rsid w:val="00BA3FA4"/>
    <w:rsid w:val="00BA63E3"/>
    <w:rsid w:val="00BE3AE6"/>
    <w:rsid w:val="00BF0240"/>
    <w:rsid w:val="00C13C92"/>
    <w:rsid w:val="00C15B75"/>
    <w:rsid w:val="00C206A8"/>
    <w:rsid w:val="00C261E2"/>
    <w:rsid w:val="00C319DA"/>
    <w:rsid w:val="00C40310"/>
    <w:rsid w:val="00C410EB"/>
    <w:rsid w:val="00C62FC2"/>
    <w:rsid w:val="00C8372F"/>
    <w:rsid w:val="00CB1B99"/>
    <w:rsid w:val="00CB2AD5"/>
    <w:rsid w:val="00CB5DAA"/>
    <w:rsid w:val="00CC710F"/>
    <w:rsid w:val="00CD31FA"/>
    <w:rsid w:val="00D04CE4"/>
    <w:rsid w:val="00D06E68"/>
    <w:rsid w:val="00D1194C"/>
    <w:rsid w:val="00D1200A"/>
    <w:rsid w:val="00D210AF"/>
    <w:rsid w:val="00D32718"/>
    <w:rsid w:val="00D37C78"/>
    <w:rsid w:val="00D43C0C"/>
    <w:rsid w:val="00D54951"/>
    <w:rsid w:val="00D57188"/>
    <w:rsid w:val="00D6001D"/>
    <w:rsid w:val="00D8452A"/>
    <w:rsid w:val="00D94B9E"/>
    <w:rsid w:val="00D9795F"/>
    <w:rsid w:val="00DA050C"/>
    <w:rsid w:val="00DC22B4"/>
    <w:rsid w:val="00DD7739"/>
    <w:rsid w:val="00DE4667"/>
    <w:rsid w:val="00E03B1D"/>
    <w:rsid w:val="00E159AF"/>
    <w:rsid w:val="00E15BE3"/>
    <w:rsid w:val="00E1613E"/>
    <w:rsid w:val="00E304EB"/>
    <w:rsid w:val="00E30A56"/>
    <w:rsid w:val="00E32CBC"/>
    <w:rsid w:val="00E51BCB"/>
    <w:rsid w:val="00E5425D"/>
    <w:rsid w:val="00E6009A"/>
    <w:rsid w:val="00E73421"/>
    <w:rsid w:val="00E73A79"/>
    <w:rsid w:val="00E857F4"/>
    <w:rsid w:val="00ED5D9C"/>
    <w:rsid w:val="00F072F2"/>
    <w:rsid w:val="00F20113"/>
    <w:rsid w:val="00F3262A"/>
    <w:rsid w:val="00F34B7B"/>
    <w:rsid w:val="00F42CD3"/>
    <w:rsid w:val="00F531FF"/>
    <w:rsid w:val="00F579B4"/>
    <w:rsid w:val="00F65370"/>
    <w:rsid w:val="00F81D0A"/>
    <w:rsid w:val="00F949B6"/>
    <w:rsid w:val="00FA3449"/>
    <w:rsid w:val="00FB41A8"/>
    <w:rsid w:val="00FB4EA9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AF40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  <w:style w:type="paragraph" w:customStyle="1" w:styleId="af2">
    <w:name w:val="Знак Знак"/>
    <w:basedOn w:val="a"/>
    <w:rsid w:val="006200EE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3A0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pMVSKh/4jSf0xHcZMSjiRaOCBKzY7TD3HRdXBpsV3NU=</DigestValue>
    </Reference>
    <Reference Type="http://www.w3.org/2000/09/xmldsig#Object" URI="#idOfficeObject">
      <DigestMethod Algorithm="urn:ietf:params:xml:ns:cpxmlsec:algorithms:gostr34112012-256"/>
      <DigestValue>fJUdB0dQk0JbCOURZmFk2vowcO8ND+iyArgGCQHXz7Q=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PnCyik1ft4FMIxhlUfExOwFTlAOZ6HaTG2x2DoYwPEo=</DigestValue>
    </Reference>
  </SignedInfo>
  <SignatureValue>/DTM2i1XFX1byLm/qha/BPN0GUDDpfndfw0XDL9JB3P/FgVrLfJtHnQDUv3IC/g9
/RR95SCXmX4Cm7aJnRPsOQ==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G1++I4U5j4JHAfa30cXuFlM9tgI=</DigestValue>
      </Reference>
      <Reference URI="/word/document.xml?ContentType=application/vnd.openxmlformats-officedocument.wordprocessingml.document.main+xml">
        <DigestMethod Algorithm="http://www.w3.org/2000/09/xmldsig#sha1"/>
        <DigestValue>nHwAq5tflHoz+G3JjG3BB6KqvzY=</DigestValue>
      </Reference>
      <Reference URI="/word/endnotes.xml?ContentType=application/vnd.openxmlformats-officedocument.wordprocessingml.endnotes+xml">
        <DigestMethod Algorithm="http://www.w3.org/2000/09/xmldsig#sha1"/>
        <DigestValue>DC6zGCvSyw4kwmj9Ngo5MpdprZs=</DigestValue>
      </Reference>
      <Reference URI="/word/fontTable.xml?ContentType=application/vnd.openxmlformats-officedocument.wordprocessingml.fontTable+xml">
        <DigestMethod Algorithm="http://www.w3.org/2000/09/xmldsig#sha1"/>
        <DigestValue>L339GNu5OPa/d/ysLUkiXHZTO0M=</DigestValue>
      </Reference>
      <Reference URI="/word/footnotes.xml?ContentType=application/vnd.openxmlformats-officedocument.wordprocessingml.footnotes+xml">
        <DigestMethod Algorithm="http://www.w3.org/2000/09/xmldsig#sha1"/>
        <DigestValue>uO1Ghud8WDFSp+45+xcPjfDF73k=</DigestValue>
      </Reference>
      <Reference URI="/word/header1.xml?ContentType=application/vnd.openxmlformats-officedocument.wordprocessingml.header+xml">
        <DigestMethod Algorithm="http://www.w3.org/2000/09/xmldsig#sha1"/>
        <DigestValue>oTGdD0HS6cIo5TJbPTaYAfgHUKs=</DigestValue>
      </Reference>
      <Reference URI="/word/numbering.xml?ContentType=application/vnd.openxmlformats-officedocument.wordprocessingml.numbering+xml">
        <DigestMethod Algorithm="http://www.w3.org/2000/09/xmldsig#sha1"/>
        <DigestValue>o2YxwtkirYbDx/KXjotasRqY7oY=</DigestValue>
      </Reference>
      <Reference URI="/word/settings.xml?ContentType=application/vnd.openxmlformats-officedocument.wordprocessingml.settings+xml">
        <DigestMethod Algorithm="http://www.w3.org/2000/09/xmldsig#sha1"/>
        <DigestValue>XJPMNxe6DqLWW3S2XKKFhyZ54zM=</DigestValue>
      </Reference>
      <Reference URI="/word/styles.xml?ContentType=application/vnd.openxmlformats-officedocument.wordprocessingml.styles+xml">
        <DigestMethod Algorithm="http://www.w3.org/2000/09/xmldsig#sha1"/>
        <DigestValue>t7dfXmxVzDKTd+5778z7CVcabz4=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2020-03-30T14:33:55Z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2020-03-30T14:33:55Z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2016-02-26T08:58:00Z</cp:lastPrinted>
  <dcterms:created xsi:type="dcterms:W3CDTF">2020-03-30T11:50:00Z</dcterms:created>
  <dcterms:modified xsi:type="dcterms:W3CDTF">2020-03-30T14:16:00Z</dcterms:modified>
</cp:coreProperties>
</file>