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42DE86D" w:rsidR="0003404B" w:rsidRPr="00FB5DC9" w:rsidRDefault="00DA2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5DC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21 сентября 2016 г. (</w:t>
      </w:r>
      <w:proofErr w:type="gram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дата объявления резолютивной части 16 сентября 2016 г.) по делу № А54-4157/2016 конкурсным управляющим (ликвидатором) Региональным инвестиционным коммерческим банком «</w:t>
      </w:r>
      <w:proofErr w:type="spell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FB5DC9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FB5DC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390000, город Рязань, Первомайский пр-т, д. 14, ОГРН 1026200007855, ИНН 6231027963)</w:t>
      </w:r>
      <w:r w:rsidR="00555595"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FB5DC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FB5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FB5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FB5DC9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F843C1B" w14:textId="33732BFA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DC9">
        <w:rPr>
          <w:rFonts w:ascii="Times New Roman" w:hAnsi="Times New Roman" w:cs="Times New Roman"/>
          <w:sz w:val="24"/>
          <w:szCs w:val="24"/>
        </w:rPr>
        <w:t xml:space="preserve">Лот 1 - </w:t>
      </w:r>
      <w:r w:rsidR="006A0216" w:rsidRPr="006A0216">
        <w:rPr>
          <w:rFonts w:ascii="Times New Roman" w:hAnsi="Times New Roman" w:cs="Times New Roman"/>
          <w:sz w:val="24"/>
          <w:szCs w:val="24"/>
        </w:rPr>
        <w:t>Нежилое помещение - 608,7 кв. м, адрес: г. Рязань, Первомайский просп., д. 14, этажность 1, 2 и подвал, неотделимые улучшения (35 поз.), кадастровый номер 62:29:0070047:320, ограничения и обременения: объект культурного наследия</w:t>
      </w:r>
      <w:r w:rsidRPr="00FB5DC9">
        <w:rPr>
          <w:rFonts w:ascii="Times New Roman" w:hAnsi="Times New Roman" w:cs="Times New Roman"/>
          <w:sz w:val="24"/>
          <w:szCs w:val="24"/>
        </w:rPr>
        <w:t xml:space="preserve"> - 19 796 871,94 руб.;</w:t>
      </w:r>
      <w:proofErr w:type="gramEnd"/>
    </w:p>
    <w:p w14:paraId="2F0296F9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DC9">
        <w:rPr>
          <w:rFonts w:ascii="Times New Roman" w:hAnsi="Times New Roman" w:cs="Times New Roman"/>
          <w:sz w:val="24"/>
          <w:szCs w:val="24"/>
        </w:rPr>
        <w:t xml:space="preserve">Лот 2 - Нежилые здания - 475,4 кв. м, 101,7 кв. м, 88 кв. м, 2 941,4 кв. м, 3 046,8 кв. м, 1 255,6 кв. м, земельный участок - 28 894 +/- 54 кв. м, адрес: г. Рязань, р-н Южный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Промузел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>, д. 8, 8г, кадастровые номера 62:29:0130005:108, 62:29:0130005:107, 62:29:0130005:105, 62:29:0130005:104, 62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>:29:0130005:109, 62:29:0130005:110, 62:29:0130005:68, земли населенных пунктов - для размещения и эксплуатации производственных зданий и сооружений - 41 743 939,09 руб.;</w:t>
      </w:r>
    </w:p>
    <w:p w14:paraId="1166AD05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3 - Земельный участок - 52 080 кв. м, местонахождение: установлено относительно ориентира, расположенного в границах участка. Ориентир д. Алехново. Участок находится примерно в 500 м от ориентира по направлению на юг. Почтовый адрес ориентира: </w:t>
      </w:r>
      <w:proofErr w:type="gramStart"/>
      <w:r w:rsidRPr="00FB5DC9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 xml:space="preserve"> обл., р-н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, с/пос.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Бужаровское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>, кадастровый номер 50:08:0070309:47, земли с/х назначения - под дачное строительство - 27 719 671,38 руб.;</w:t>
      </w:r>
    </w:p>
    <w:p w14:paraId="2B085523" w14:textId="1960B32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4 - </w:t>
      </w:r>
      <w:r w:rsidR="006A0216" w:rsidRPr="006A0216">
        <w:rPr>
          <w:rFonts w:ascii="Times New Roman" w:hAnsi="Times New Roman" w:cs="Times New Roman"/>
          <w:sz w:val="24"/>
          <w:szCs w:val="24"/>
        </w:rPr>
        <w:t xml:space="preserve">Жилой дом - 212 кв. м, земельный участок - 1 275 кв. м, адрес: </w:t>
      </w:r>
      <w:proofErr w:type="gramStart"/>
      <w:r w:rsidR="006A0216" w:rsidRPr="006A0216">
        <w:rPr>
          <w:rFonts w:ascii="Times New Roman" w:hAnsi="Times New Roman" w:cs="Times New Roman"/>
          <w:sz w:val="24"/>
          <w:szCs w:val="24"/>
        </w:rPr>
        <w:t xml:space="preserve">Рязанская обл., </w:t>
      </w:r>
      <w:proofErr w:type="spellStart"/>
      <w:r w:rsidR="006A0216" w:rsidRPr="006A0216">
        <w:rPr>
          <w:rFonts w:ascii="Times New Roman" w:hAnsi="Times New Roman" w:cs="Times New Roman"/>
          <w:sz w:val="24"/>
          <w:szCs w:val="24"/>
        </w:rPr>
        <w:t>Ухоловский</w:t>
      </w:r>
      <w:proofErr w:type="spellEnd"/>
      <w:r w:rsidR="006A0216" w:rsidRPr="006A0216">
        <w:rPr>
          <w:rFonts w:ascii="Times New Roman" w:hAnsi="Times New Roman" w:cs="Times New Roman"/>
          <w:sz w:val="24"/>
          <w:szCs w:val="24"/>
        </w:rPr>
        <w:t xml:space="preserve"> р-н, р. п. Ухолово, ул. Революции, д. 46, кадастровые номера 62:22:0030303:110, 62:22:0030303:6, земли населенных пунктов - для индивидуального жилищного строительства, имеются незарегистрированные постройки, ограничения и обременения: зарегистрированы 6 человек, в </w:t>
      </w:r>
      <w:proofErr w:type="spellStart"/>
      <w:r w:rsidR="006A0216" w:rsidRPr="006A02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A0216" w:rsidRPr="006A0216">
        <w:rPr>
          <w:rFonts w:ascii="Times New Roman" w:hAnsi="Times New Roman" w:cs="Times New Roman"/>
          <w:sz w:val="24"/>
          <w:szCs w:val="24"/>
        </w:rPr>
        <w:t>. 2 несовершеннолетних</w:t>
      </w:r>
      <w:r w:rsidRPr="00FB5DC9">
        <w:rPr>
          <w:rFonts w:ascii="Times New Roman" w:hAnsi="Times New Roman" w:cs="Times New Roman"/>
          <w:sz w:val="24"/>
          <w:szCs w:val="24"/>
        </w:rPr>
        <w:t xml:space="preserve"> - 2 995 579,02 руб.;</w:t>
      </w:r>
      <w:proofErr w:type="gramEnd"/>
    </w:p>
    <w:p w14:paraId="79B6DBA7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>Лот 5 - Нежилое помещение - 1 301,3 кв. м, адрес: г. Тверь, ул. Спартака, д. 47, пом. 5а, 3 этаж, кадастровый номер 69:40:0300225:100 - 32 217 352,61 руб.;</w:t>
      </w:r>
    </w:p>
    <w:p w14:paraId="7715A1DB" w14:textId="169CFCFB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6 - </w:t>
      </w:r>
      <w:r w:rsidR="006A0216" w:rsidRPr="006A0216">
        <w:rPr>
          <w:rFonts w:ascii="Times New Roman" w:hAnsi="Times New Roman" w:cs="Times New Roman"/>
          <w:sz w:val="24"/>
          <w:szCs w:val="24"/>
        </w:rPr>
        <w:t xml:space="preserve">Квартира - 48,5 кв. м, адрес: </w:t>
      </w:r>
      <w:proofErr w:type="gramStart"/>
      <w:r w:rsidR="006A0216" w:rsidRPr="006A0216">
        <w:rPr>
          <w:rFonts w:ascii="Times New Roman" w:hAnsi="Times New Roman" w:cs="Times New Roman"/>
          <w:sz w:val="24"/>
          <w:szCs w:val="24"/>
        </w:rPr>
        <w:t xml:space="preserve">Рязанская обл., г. Кораблино, ул. Текстильщиков, д. 17, кв. 9, 2-комнатная, 3 этаж, кадастровый номер 62:06:0010510:558, ограничения и обременения: зарегистрированы 8 человек, в </w:t>
      </w:r>
      <w:proofErr w:type="spellStart"/>
      <w:r w:rsidR="006A0216" w:rsidRPr="006A02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A0216" w:rsidRPr="006A0216">
        <w:rPr>
          <w:rFonts w:ascii="Times New Roman" w:hAnsi="Times New Roman" w:cs="Times New Roman"/>
          <w:sz w:val="24"/>
          <w:szCs w:val="24"/>
        </w:rPr>
        <w:t>. 3 несовершеннолетних</w:t>
      </w:r>
      <w:r w:rsidRPr="00FB5DC9">
        <w:rPr>
          <w:rFonts w:ascii="Times New Roman" w:hAnsi="Times New Roman" w:cs="Times New Roman"/>
          <w:sz w:val="24"/>
          <w:szCs w:val="24"/>
        </w:rPr>
        <w:t xml:space="preserve"> - 705 416,30 руб.;</w:t>
      </w:r>
      <w:proofErr w:type="gramEnd"/>
    </w:p>
    <w:p w14:paraId="13EF4912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200, черный, 2014, 112 338 км, 4.5 АТ (235 л. с.), дизель, полный, VIN JTMCV05J604132981, г. </w:t>
      </w:r>
      <w:proofErr w:type="gramStart"/>
      <w:r w:rsidRPr="00FB5DC9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 xml:space="preserve"> - 3 003 975,00 руб.;</w:t>
      </w:r>
    </w:p>
    <w:p w14:paraId="5DD2EA6A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DC9">
        <w:rPr>
          <w:rFonts w:ascii="Times New Roman" w:hAnsi="Times New Roman" w:cs="Times New Roman"/>
          <w:sz w:val="24"/>
          <w:szCs w:val="24"/>
        </w:rPr>
        <w:t xml:space="preserve">Лот 8 -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Renault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SR, бежевый, 2011, 189 139 км, 1.6 МТ (84 л. с.), бензин, передний, VIN X7LLSRB1HBH403799, г. Видное - 204 626,06 руб.;</w:t>
      </w:r>
      <w:proofErr w:type="gramEnd"/>
    </w:p>
    <w:p w14:paraId="7F77CB28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9 - BMW 528i </w:t>
      </w:r>
      <w:proofErr w:type="spellStart"/>
      <w:proofErr w:type="gramStart"/>
      <w:r w:rsidRPr="00FB5DC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>, синий, 2014, 51 180 км, 2.0 АТ (245 л. с.), бензин, полный, VIN X4X5A79430D364894, г. Видное - 1 611 676,16 руб.;</w:t>
      </w:r>
    </w:p>
    <w:p w14:paraId="31B9B7E4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10 - BMW 528i </w:t>
      </w:r>
      <w:proofErr w:type="spellStart"/>
      <w:proofErr w:type="gramStart"/>
      <w:r w:rsidRPr="00FB5DC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, синий, 2014, 46 220 км, 2.0АТ (245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>.), полный, бензин, VIN X4X5A79450D364895, г. Видное - 1 639 736,91 руб.;</w:t>
      </w:r>
    </w:p>
    <w:p w14:paraId="3CD07122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DC9">
        <w:rPr>
          <w:rFonts w:ascii="Times New Roman" w:hAnsi="Times New Roman" w:cs="Times New Roman"/>
          <w:sz w:val="24"/>
          <w:szCs w:val="24"/>
        </w:rPr>
        <w:t>Лот 11 - ИМЯ-М-19479, бежевый, 2015, 21 210 км, 2.3 МТ (125 л. с.), дизель, задний, VIN Z9S194794FA000021, г. Видное - 1 438 567,12 руб.;</w:t>
      </w:r>
      <w:proofErr w:type="gramEnd"/>
    </w:p>
    <w:p w14:paraId="2390EDE2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Jetta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, белый, 2015, 57 340 км, 1.6 АТ (86 л. с.), бензин, передний, VIN XW8ZZZ16ZFN907773, г. </w:t>
      </w:r>
      <w:proofErr w:type="gramStart"/>
      <w:r w:rsidRPr="00FB5DC9">
        <w:rPr>
          <w:rFonts w:ascii="Times New Roman" w:hAnsi="Times New Roman" w:cs="Times New Roman"/>
          <w:sz w:val="24"/>
          <w:szCs w:val="24"/>
        </w:rPr>
        <w:t>Видное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 xml:space="preserve"> - 616 110,64 руб.;</w:t>
      </w:r>
    </w:p>
    <w:p w14:paraId="0A02CA5A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>Лот 13 - Банковское оборудование (67 поз.), г. Москва - 615 618,68 руб.;</w:t>
      </w:r>
    </w:p>
    <w:p w14:paraId="28198A9B" w14:textId="77777777" w:rsidR="0042429D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>Лот 14 - Банкоматы (10 поз.), г. Москва - 540 919,37 руб.;</w:t>
      </w:r>
    </w:p>
    <w:p w14:paraId="0800727F" w14:textId="0CF585C9" w:rsidR="00555595" w:rsidRPr="00FB5DC9" w:rsidRDefault="0042429D" w:rsidP="004242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lastRenderedPageBreak/>
        <w:t>Лот 15 - Оборудование связи и сетевое оборудование (21 поз.), г. Москва - 176 415,26 руб.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351655" w14:textId="77777777" w:rsidR="00555595" w:rsidRPr="00FB5DC9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B5DC9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B5DC9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B5DC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B5DC9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B5DC9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BA6C864" w:rsidR="0003404B" w:rsidRPr="00FB5DC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B5DC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D1F10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D1F10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сентября</w:t>
      </w:r>
      <w:r w:rsidR="0003404B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B5D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B5DC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C7C08E" w:rsidR="0003404B" w:rsidRPr="00FB5DC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1F10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 2020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FB5D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FB5DC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832BE5B" w14:textId="18A77B00" w:rsidR="00BD1F10" w:rsidRPr="00FB5DC9" w:rsidRDefault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3B4BC34D" w14:textId="285D013E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лота;</w:t>
      </w:r>
    </w:p>
    <w:p w14:paraId="64902B4D" w14:textId="3416F6B6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97,00% от начальной цены продажи лота;</w:t>
      </w:r>
    </w:p>
    <w:p w14:paraId="09DA0A02" w14:textId="4AFB8654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94,00% от начальной цены продажи лота;</w:t>
      </w:r>
    </w:p>
    <w:p w14:paraId="0CBEAAD3" w14:textId="417DF358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91,00% от начальной цены продажи лота;</w:t>
      </w:r>
    </w:p>
    <w:p w14:paraId="09AC07B2" w14:textId="177CFFF4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88,00% от начальной цены продажи лота;</w:t>
      </w:r>
    </w:p>
    <w:p w14:paraId="27AFDD21" w14:textId="4A41F7B4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85,00% от начальной цены продажи лота;</w:t>
      </w:r>
    </w:p>
    <w:p w14:paraId="20C30DF0" w14:textId="51AB4FED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82,00% от начальной цены продажи лота;</w:t>
      </w:r>
    </w:p>
    <w:p w14:paraId="75FA6695" w14:textId="39095A53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79,00% от начальной цены продажи лота;</w:t>
      </w:r>
    </w:p>
    <w:p w14:paraId="223E5D63" w14:textId="2F6A785E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76,00% от начальной цены продажи лота;</w:t>
      </w:r>
    </w:p>
    <w:p w14:paraId="4D917129" w14:textId="07C0B5D9" w:rsidR="00BD1F10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73,00% от начальной цены продажи лота;</w:t>
      </w:r>
    </w:p>
    <w:p w14:paraId="1DF7D052" w14:textId="7585C9A6" w:rsidR="0003404B" w:rsidRPr="00FB5DC9" w:rsidRDefault="00BD1F10" w:rsidP="00BD1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70,00% от начальной цены продажи лота</w:t>
      </w:r>
      <w:r w:rsidR="0003404B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36479A" w14:textId="177CDCAD" w:rsidR="00187332" w:rsidRPr="00FB5DC9" w:rsidRDefault="00187332" w:rsidP="00187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44FA3F2D" w14:textId="07C899E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лота;</w:t>
      </w:r>
    </w:p>
    <w:p w14:paraId="4F568813" w14:textId="2E9A197C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93,00% от начальной цены продажи лота;</w:t>
      </w:r>
    </w:p>
    <w:p w14:paraId="45AF1BDE" w14:textId="7F14154D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86,00% от начальной цены продажи лота;</w:t>
      </w:r>
    </w:p>
    <w:p w14:paraId="69CCDAC1" w14:textId="242EC18C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79,00% от начальной цены продажи лота;</w:t>
      </w:r>
    </w:p>
    <w:p w14:paraId="72F10669" w14:textId="3D983241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72,00% от начальной цены продажи лота;</w:t>
      </w:r>
    </w:p>
    <w:p w14:paraId="238FE45B" w14:textId="26DB4A9A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65,00% от начальной цены продажи лота;</w:t>
      </w:r>
    </w:p>
    <w:p w14:paraId="6238346C" w14:textId="589B9E11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58,00% от начальной цены продажи лота;</w:t>
      </w:r>
    </w:p>
    <w:p w14:paraId="21400A5F" w14:textId="4A19D416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51,00% от начальной цены продажи лота;</w:t>
      </w:r>
    </w:p>
    <w:p w14:paraId="30DAB102" w14:textId="6BC1EEB6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44,00% от начальной цены продажи лота;</w:t>
      </w:r>
    </w:p>
    <w:p w14:paraId="50C5730A" w14:textId="465812B5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37,00% от начальной цены продажи лота;</w:t>
      </w:r>
    </w:p>
    <w:p w14:paraId="6DFC1048" w14:textId="0A58C121" w:rsidR="00187332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30,00% от начальной цены продажи лота</w:t>
      </w:r>
      <w:r w:rsidR="00187332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09909D" w14:textId="7B4150B0" w:rsidR="00187332" w:rsidRPr="00FB5DC9" w:rsidRDefault="00187332" w:rsidP="001873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1ED11A17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мая 2020 г. по 24 июня 2020 г. - в размере начальной цены продажи лотов;</w:t>
      </w:r>
    </w:p>
    <w:p w14:paraId="56E2A5E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93,10% от начальной цены продажи лотов;</w:t>
      </w:r>
    </w:p>
    <w:p w14:paraId="5003FFBD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86,20% от начальной цены продажи лотов;</w:t>
      </w:r>
    </w:p>
    <w:p w14:paraId="4476C78F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79,30% от начальной цены продажи лотов;</w:t>
      </w:r>
    </w:p>
    <w:p w14:paraId="1BD280E2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72,40% от начальной цены продажи лотов;</w:t>
      </w:r>
    </w:p>
    <w:p w14:paraId="75A71FF6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65,50% от начальной цены продажи лотов;</w:t>
      </w:r>
    </w:p>
    <w:p w14:paraId="2782139C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58,60% от начальной цены продажи лотов;</w:t>
      </w:r>
    </w:p>
    <w:p w14:paraId="4437093C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51,70% от начальной цены продажи лотов;</w:t>
      </w:r>
    </w:p>
    <w:p w14:paraId="0E6A1A2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44,80% от начальной цены продажи лотов;</w:t>
      </w:r>
    </w:p>
    <w:p w14:paraId="177A8F28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37,90% от начальной цены продажи лотов;</w:t>
      </w:r>
    </w:p>
    <w:p w14:paraId="629B4773" w14:textId="32767F11" w:rsidR="00182C8A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31,00% от начальной цены продажи лотов</w:t>
      </w: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4F2DB52" w14:textId="273C5066" w:rsidR="00182C8A" w:rsidRPr="00FB5DC9" w:rsidRDefault="00182C8A" w:rsidP="00182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4, </w:t>
      </w:r>
      <w:r w:rsidR="00F50F03" w:rsidRPr="00FB5DC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E61856C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7E4884B4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94,60% от начальной цены продажи лотов;</w:t>
      </w:r>
    </w:p>
    <w:p w14:paraId="3F17F2FD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89,20% от начальной цены продажи лотов;</w:t>
      </w:r>
    </w:p>
    <w:p w14:paraId="14D1A8A8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83,80% от начальной цены продажи лотов;</w:t>
      </w:r>
    </w:p>
    <w:p w14:paraId="4A3FF937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78,40% от начальной цены продажи лотов;</w:t>
      </w:r>
    </w:p>
    <w:p w14:paraId="13489810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73,00% от начальной цены продажи лотов;</w:t>
      </w:r>
    </w:p>
    <w:p w14:paraId="62FE528F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67,60% от начальной цены продажи лотов;</w:t>
      </w:r>
    </w:p>
    <w:p w14:paraId="51B2335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62,20% от начальной цены продажи лотов;</w:t>
      </w:r>
    </w:p>
    <w:p w14:paraId="3C690A1E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56,80% от начальной цены продажи лотов;</w:t>
      </w:r>
    </w:p>
    <w:p w14:paraId="24B5F57F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51,40% от начальной цены продажи лотов;</w:t>
      </w:r>
    </w:p>
    <w:p w14:paraId="1876991D" w14:textId="5887DB2C" w:rsidR="00182C8A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46,00% от начальной цены продажи лотов</w:t>
      </w:r>
      <w:r w:rsidR="00182C8A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EED51D" w14:textId="4358138D" w:rsidR="00182C8A" w:rsidRPr="00FB5DC9" w:rsidRDefault="00182C8A" w:rsidP="00182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155FB919" w14:textId="4BEF1DCD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лота;</w:t>
      </w:r>
    </w:p>
    <w:p w14:paraId="144CB5A6" w14:textId="54A16C6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92,50% от начальной цены продажи лота;</w:t>
      </w:r>
    </w:p>
    <w:p w14:paraId="5DE1524E" w14:textId="54E55E3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85,00% от начальной цены продажи лота;</w:t>
      </w:r>
    </w:p>
    <w:p w14:paraId="281F7299" w14:textId="0BB5DAA8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77,50% от начальной цены продажи лота;</w:t>
      </w:r>
    </w:p>
    <w:p w14:paraId="597C1F83" w14:textId="40786BC6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70,00% от начальной цены продажи лота;</w:t>
      </w:r>
    </w:p>
    <w:p w14:paraId="09D1CCD2" w14:textId="7C4175C0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62,50% от начальной цены продажи лота;</w:t>
      </w:r>
    </w:p>
    <w:p w14:paraId="50AB3ACD" w14:textId="25A2647A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55,00% от начальной цены продажи лота;</w:t>
      </w:r>
    </w:p>
    <w:p w14:paraId="53FBB23F" w14:textId="1E74509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47,50% от начальной цены продажи лота;</w:t>
      </w:r>
    </w:p>
    <w:p w14:paraId="79F20AAD" w14:textId="23E52E00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40,00% от начальной цены продажи лота;</w:t>
      </w:r>
    </w:p>
    <w:p w14:paraId="55908F59" w14:textId="4EBA9070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32,50% от начальной цены продажи лота;</w:t>
      </w:r>
    </w:p>
    <w:p w14:paraId="73569F52" w14:textId="61FAD6F4" w:rsidR="00182C8A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25,00% от начальной цены продажи лота</w:t>
      </w:r>
      <w:r w:rsidR="00182C8A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38089A" w14:textId="59A24072" w:rsidR="00F50F03" w:rsidRPr="00FB5DC9" w:rsidRDefault="00F50F03" w:rsidP="00F5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лотов 7, 9-10:</w:t>
      </w:r>
    </w:p>
    <w:p w14:paraId="12C28B0D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4C5D22A7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июня 2020 г. по 01 июля 2020 г. - в размере 91,20% от начальной цены продажи лотов;</w:t>
      </w:r>
    </w:p>
    <w:p w14:paraId="2C072B99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82,40% от начальной цены продажи лотов;</w:t>
      </w:r>
    </w:p>
    <w:p w14:paraId="2A2058A3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73,60% от начальной цены продажи лотов;</w:t>
      </w:r>
    </w:p>
    <w:p w14:paraId="35F526B4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64,80% от начальной цены продажи лотов;</w:t>
      </w:r>
    </w:p>
    <w:p w14:paraId="18DA97C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56,00% от начальной цены продажи лотов;</w:t>
      </w:r>
    </w:p>
    <w:p w14:paraId="14FDF667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47,20% от начальной цены продажи лотов;</w:t>
      </w:r>
    </w:p>
    <w:p w14:paraId="6DE294F9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38,40% от начальной цены продажи лотов;</w:t>
      </w:r>
    </w:p>
    <w:p w14:paraId="287A0035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29,60% от начальной цены продажи лотов;</w:t>
      </w:r>
    </w:p>
    <w:p w14:paraId="6B66AC85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20,80% от начальной цены продажи лотов;</w:t>
      </w:r>
    </w:p>
    <w:p w14:paraId="2453357F" w14:textId="0107E016" w:rsidR="00F50F03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12,00% от начальной цены продажи лотов</w:t>
      </w:r>
      <w:r w:rsidR="00F50F03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22E8C" w14:textId="7DA5882F" w:rsidR="008E0B8D" w:rsidRPr="00FB5DC9" w:rsidRDefault="008E0B8D" w:rsidP="008E0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лотов 8, 11-12:</w:t>
      </w:r>
    </w:p>
    <w:p w14:paraId="0FFB2496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30B74890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90,20% от начальной цены продажи лотов;</w:t>
      </w:r>
    </w:p>
    <w:p w14:paraId="02678D64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80,40% от начальной цены продажи лотов;</w:t>
      </w:r>
    </w:p>
    <w:p w14:paraId="59A7D6F8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70,60% от начальной цены продажи лотов;</w:t>
      </w:r>
    </w:p>
    <w:p w14:paraId="16EED74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60,80% от начальной цены продажи лотов;</w:t>
      </w:r>
    </w:p>
    <w:p w14:paraId="63C611A4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51,00% от начальной цены продажи лотов;</w:t>
      </w:r>
    </w:p>
    <w:p w14:paraId="409F9FAA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41,20% от начальной цены продажи лотов;</w:t>
      </w:r>
    </w:p>
    <w:p w14:paraId="46BD037D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31,40% от начальной цены продажи лотов;</w:t>
      </w:r>
    </w:p>
    <w:p w14:paraId="5C3BBE3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21,60% от начальной цены продажи лотов;</w:t>
      </w:r>
    </w:p>
    <w:p w14:paraId="7AFDC5E1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11,80% от начальной цены продажи лотов;</w:t>
      </w:r>
    </w:p>
    <w:p w14:paraId="7413F8A2" w14:textId="4E267774" w:rsidR="00187332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2,00% от начальной цены продажи лотов</w:t>
      </w:r>
      <w:r w:rsidR="008E0B8D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CE889E" w14:textId="4149E68E" w:rsidR="008E0B8D" w:rsidRPr="00FB5DC9" w:rsidRDefault="008E0B8D" w:rsidP="008E0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Для лотов 13-15:</w:t>
      </w:r>
    </w:p>
    <w:p w14:paraId="01CADDA2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мая 2020 г. по 24 июня 2020 г. - в размере начальной цены продажи лотов;</w:t>
      </w:r>
    </w:p>
    <w:p w14:paraId="5EA54C8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25 июня 2020 г. по 01 июля 2020 г. - в размере 90,10% от начальной цены продажи лотов;</w:t>
      </w:r>
    </w:p>
    <w:p w14:paraId="06764F49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80,20% от начальной цены продажи лотов;</w:t>
      </w:r>
    </w:p>
    <w:p w14:paraId="03CC6563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70,30% от начальной цены продажи лотов;</w:t>
      </w:r>
    </w:p>
    <w:p w14:paraId="535A2D7A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60,40% от начальной цены продажи лотов;</w:t>
      </w:r>
    </w:p>
    <w:p w14:paraId="458F8919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50,50% от начальной цены продажи лотов;</w:t>
      </w:r>
    </w:p>
    <w:p w14:paraId="2E8B4D83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40,60% от начальной цены продажи лотов;</w:t>
      </w:r>
    </w:p>
    <w:p w14:paraId="312974BB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30,70% от начальной цены продажи лотов;</w:t>
      </w:r>
    </w:p>
    <w:p w14:paraId="1E6FF11E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20,80% от начальной цены продажи лотов;</w:t>
      </w:r>
    </w:p>
    <w:p w14:paraId="4781D4CE" w14:textId="77777777" w:rsidR="00177109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10,90% от начальной цены продажи лотов;</w:t>
      </w:r>
    </w:p>
    <w:p w14:paraId="2113503E" w14:textId="049A9278" w:rsidR="00F50F03" w:rsidRPr="00FB5DC9" w:rsidRDefault="00177109" w:rsidP="001771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1,00% от начальной цены продажи лотов</w:t>
      </w:r>
      <w:r w:rsidR="008E0B8D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48FA615D" w14:textId="77777777" w:rsidR="006A0216" w:rsidRDefault="006A0216" w:rsidP="006A0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B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Условия участия по лоту 1:</w:t>
      </w:r>
      <w:r w:rsidRPr="007E7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48FE">
        <w:rPr>
          <w:rFonts w:ascii="Times New Roman" w:hAnsi="Times New Roman" w:cs="Times New Roman"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1748FE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569BA733" w14:textId="48760713" w:rsidR="00F463FC" w:rsidRPr="00FB5DC9" w:rsidRDefault="0003404B" w:rsidP="006A0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B5DC9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FB5DC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FB5DC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B5DC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B5DC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B5D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B5DC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B5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B5DC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DC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FB5DC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B5DC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B5DC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B5DC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B5DC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D0EB6F5" w:rsidR="008F1609" w:rsidRPr="00FB5DC9" w:rsidRDefault="007E3D68" w:rsidP="00C153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B2D26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5-я ул. Ямского поля, д. 5 стр. 1, тел. +7 (495) 725-31-33, доб. 63-60, 63-62, 61-44, у ОТ: по лот</w:t>
      </w:r>
      <w:r w:rsidR="00C15359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0B2D26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C15359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2, 4, 6</w:t>
      </w:r>
      <w:r w:rsidR="000B2D26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mfrad@auction-house.ru 8(495) 234-04-00 (доб. 324/346), по лотам </w:t>
      </w:r>
      <w:r w:rsidR="00C15359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3, 7-12</w:t>
      </w:r>
      <w:r w:rsidR="000B2D26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0B2D26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(812) 334-20-50 (с 9.00 до 18.00 по Московскому времени в будние дни) </w:t>
      </w:r>
      <w:hyperlink r:id="rId8" w:history="1">
        <w:r w:rsidR="00C15359" w:rsidRPr="00FB5DC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C15359" w:rsidRPr="00FB5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5: yaroslavl@auction-house.ru, Мякутина Виктория тел. 8 (812) 777-57-57 (доб.597), 8 (980) 701-15-25; Шумилов Андрей тел. 8 (812) 777-57-57 (доб.596), 8 (916) 664-98-08.  по лотам 13-15: Тел. 8(812)334-20-50 (с 9.00 до 18.00 по Московскому времени в будние дни) informspb@auction-house.ru</w:t>
      </w:r>
      <w:r w:rsidR="008F1609" w:rsidRPr="00FB5D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FB5DC9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FB5DC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FB5DC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B5DC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</w:t>
      </w:r>
      <w:r w:rsidRPr="00FB5D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DC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B2D26"/>
    <w:rsid w:val="00177109"/>
    <w:rsid w:val="00182C8A"/>
    <w:rsid w:val="00187332"/>
    <w:rsid w:val="00203862"/>
    <w:rsid w:val="002C3A2C"/>
    <w:rsid w:val="00360DC6"/>
    <w:rsid w:val="003E6C81"/>
    <w:rsid w:val="0042429D"/>
    <w:rsid w:val="00495D59"/>
    <w:rsid w:val="00555595"/>
    <w:rsid w:val="005742CC"/>
    <w:rsid w:val="005F1F68"/>
    <w:rsid w:val="00621553"/>
    <w:rsid w:val="006A0216"/>
    <w:rsid w:val="007A10EE"/>
    <w:rsid w:val="007E3D68"/>
    <w:rsid w:val="008E0B8D"/>
    <w:rsid w:val="008F1609"/>
    <w:rsid w:val="00953DA4"/>
    <w:rsid w:val="009E68C2"/>
    <w:rsid w:val="009F0C4D"/>
    <w:rsid w:val="00B97A00"/>
    <w:rsid w:val="00BD1F10"/>
    <w:rsid w:val="00C15359"/>
    <w:rsid w:val="00C46C7A"/>
    <w:rsid w:val="00D16130"/>
    <w:rsid w:val="00DA2224"/>
    <w:rsid w:val="00DA4817"/>
    <w:rsid w:val="00DD01CB"/>
    <w:rsid w:val="00E645EC"/>
    <w:rsid w:val="00EE3F19"/>
    <w:rsid w:val="00F463FC"/>
    <w:rsid w:val="00F50F03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3565</Words>
  <Characters>18246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2019-07-23T07:53:00Z</dcterms:created>
  <dcterms:modified xsi:type="dcterms:W3CDTF">2020-05-08T11:14:00Z</dcterms:modified>
</cp:coreProperties>
</file>