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2E2999" w:rsidRDefault="00F01570" w:rsidP="00F01570">
      <w:pPr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2E2999">
        <w:rPr>
          <w:rFonts w:eastAsia="Times New Roman" w:cs="Times New Roman"/>
          <w:b/>
          <w:sz w:val="32"/>
          <w:szCs w:val="32"/>
          <w:lang w:eastAsia="ru-RU"/>
        </w:rPr>
        <w:t>Акционерное общество «Российский аукционный дом»</w:t>
      </w:r>
    </w:p>
    <w:p w14:paraId="672DED9C" w14:textId="5E663FEB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7C301BAD" w:rsidR="00CC109E" w:rsidRPr="00CD7EB3" w:rsidRDefault="00CC109E" w:rsidP="00CC109E">
      <w:pPr>
        <w:jc w:val="center"/>
        <w:rPr>
          <w:b/>
          <w:bCs/>
        </w:rPr>
      </w:pPr>
      <w:r w:rsidRPr="008B0EB8">
        <w:rPr>
          <w:b/>
          <w:bCs/>
        </w:rPr>
        <w:t xml:space="preserve">Электронный аукцион будет проводиться </w:t>
      </w:r>
      <w:r w:rsidR="004918F9">
        <w:rPr>
          <w:b/>
          <w:bCs/>
        </w:rPr>
        <w:t>22 июня</w:t>
      </w:r>
      <w:r w:rsidRPr="00CD7EB3">
        <w:rPr>
          <w:b/>
          <w:bCs/>
        </w:rPr>
        <w:t xml:space="preserve"> 20</w:t>
      </w:r>
      <w:r w:rsidR="004918F9">
        <w:rPr>
          <w:b/>
          <w:bCs/>
        </w:rPr>
        <w:t>20</w:t>
      </w:r>
      <w:r w:rsidRPr="00CD7EB3">
        <w:rPr>
          <w:b/>
          <w:bCs/>
        </w:rPr>
        <w:t xml:space="preserve"> </w:t>
      </w:r>
      <w:r w:rsidR="008B0EB8" w:rsidRPr="00CD7EB3">
        <w:rPr>
          <w:b/>
          <w:bCs/>
        </w:rPr>
        <w:t>в 1</w:t>
      </w:r>
      <w:r w:rsidR="0008518D">
        <w:rPr>
          <w:b/>
          <w:bCs/>
        </w:rPr>
        <w:t>1</w:t>
      </w:r>
      <w:r w:rsidR="008B0EB8" w:rsidRPr="00CD7EB3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75D6228A" w:rsidR="001F1CCB" w:rsidRPr="00D76AF4" w:rsidRDefault="00D76AF4" w:rsidP="00CC109E">
      <w:pPr>
        <w:jc w:val="center"/>
        <w:rPr>
          <w:b/>
          <w:bCs/>
        </w:rPr>
      </w:pPr>
      <w:hyperlink r:id="rId7" w:history="1">
        <w:r w:rsidRPr="00C750F0">
          <w:rPr>
            <w:rStyle w:val="a3"/>
            <w:b/>
            <w:bCs/>
            <w:lang w:val="en-US"/>
          </w:rPr>
          <w:t>www</w:t>
        </w:r>
        <w:r w:rsidRPr="00C750F0">
          <w:rPr>
            <w:rStyle w:val="a3"/>
            <w:b/>
            <w:bCs/>
          </w:rPr>
          <w:t>.</w:t>
        </w:r>
        <w:r w:rsidRPr="00C750F0">
          <w:rPr>
            <w:rStyle w:val="a3"/>
            <w:b/>
            <w:bCs/>
            <w:lang w:val="en-US"/>
          </w:rPr>
          <w:t>lot</w:t>
        </w:r>
        <w:r w:rsidRPr="00C750F0">
          <w:rPr>
            <w:rStyle w:val="a3"/>
            <w:b/>
            <w:bCs/>
          </w:rPr>
          <w:t>-</w:t>
        </w:r>
        <w:r w:rsidRPr="00C750F0">
          <w:rPr>
            <w:rStyle w:val="a3"/>
            <w:b/>
            <w:bCs/>
            <w:lang w:val="en-US"/>
          </w:rPr>
          <w:t>online</w:t>
        </w:r>
        <w:r w:rsidRPr="00C750F0">
          <w:rPr>
            <w:rStyle w:val="a3"/>
            <w:b/>
            <w:bCs/>
          </w:rPr>
          <w:t>.</w:t>
        </w:r>
        <w:proofErr w:type="spellStart"/>
        <w:r w:rsidRPr="00C750F0">
          <w:rPr>
            <w:rStyle w:val="a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  <w:bookmarkStart w:id="0" w:name="_GoBack"/>
      <w:bookmarkEnd w:id="0"/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176094AA" w14:textId="77777777" w:rsidR="004918F9" w:rsidRPr="002762DE" w:rsidRDefault="004918F9" w:rsidP="004918F9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2762DE">
        <w:rPr>
          <w:rFonts w:eastAsia="Times New Roman" w:cs="Times New Roman"/>
          <w:lang w:eastAsia="ru-RU"/>
        </w:rPr>
        <w:t xml:space="preserve">Прием заявок с </w:t>
      </w:r>
      <w:r>
        <w:rPr>
          <w:rFonts w:eastAsia="Times New Roman" w:cs="Times New Roman"/>
          <w:lang w:eastAsia="ru-RU"/>
        </w:rPr>
        <w:t>24 мая</w:t>
      </w:r>
      <w:r w:rsidRPr="002762DE">
        <w:rPr>
          <w:rFonts w:eastAsia="Times New Roman" w:cs="Times New Roman"/>
          <w:lang w:eastAsia="ru-RU"/>
        </w:rPr>
        <w:t xml:space="preserve"> 2020 г. по </w:t>
      </w:r>
      <w:r>
        <w:rPr>
          <w:rFonts w:eastAsia="Times New Roman" w:cs="Times New Roman"/>
          <w:lang w:eastAsia="ru-RU"/>
        </w:rPr>
        <w:t>20 июня</w:t>
      </w:r>
      <w:r w:rsidRPr="002762DE">
        <w:rPr>
          <w:rFonts w:eastAsia="Times New Roman" w:cs="Times New Roman"/>
          <w:lang w:eastAsia="ru-RU"/>
        </w:rPr>
        <w:t xml:space="preserve"> 2020 г. </w:t>
      </w:r>
      <w:r w:rsidRPr="002762DE">
        <w:rPr>
          <w:rFonts w:eastAsia="Times New Roman" w:cs="Times New Roman"/>
          <w:bCs/>
          <w:lang w:eastAsia="ru-RU"/>
        </w:rPr>
        <w:t>до 17.00.</w:t>
      </w:r>
    </w:p>
    <w:p w14:paraId="6F3405D6" w14:textId="77777777" w:rsidR="004918F9" w:rsidRDefault="004918F9" w:rsidP="004918F9">
      <w:pPr>
        <w:ind w:right="-1"/>
        <w:jc w:val="center"/>
        <w:rPr>
          <w:rFonts w:eastAsia="Times New Roman" w:cs="Times New Roman"/>
          <w:lang w:eastAsia="ru-RU"/>
        </w:rPr>
      </w:pPr>
      <w:r w:rsidRPr="002762DE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>
        <w:rPr>
          <w:rFonts w:eastAsia="Times New Roman" w:cs="Times New Roman"/>
          <w:lang w:eastAsia="ru-RU"/>
        </w:rPr>
        <w:t xml:space="preserve"> 20 июня</w:t>
      </w:r>
      <w:r w:rsidRPr="002762DE">
        <w:rPr>
          <w:rFonts w:eastAsia="Times New Roman" w:cs="Times New Roman"/>
          <w:lang w:eastAsia="ru-RU"/>
        </w:rPr>
        <w:t xml:space="preserve"> 2020 г.</w:t>
      </w:r>
    </w:p>
    <w:p w14:paraId="39D0D8E8" w14:textId="77777777" w:rsidR="004918F9" w:rsidRPr="00B82009" w:rsidRDefault="004918F9" w:rsidP="004918F9">
      <w:pPr>
        <w:ind w:right="-1"/>
        <w:jc w:val="center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>Определение участников аукциона и оформление п</w:t>
      </w:r>
      <w:r>
        <w:rPr>
          <w:rFonts w:eastAsia="Times New Roman" w:cs="Times New Roman"/>
          <w:lang w:eastAsia="ru-RU"/>
        </w:rPr>
        <w:t xml:space="preserve">ротокола определения участников </w:t>
      </w:r>
      <w:r w:rsidRPr="008849CB">
        <w:rPr>
          <w:rFonts w:eastAsia="Times New Roman" w:cs="Times New Roman"/>
          <w:lang w:eastAsia="ru-RU"/>
        </w:rPr>
        <w:t xml:space="preserve">аукциона осуществляется </w:t>
      </w:r>
      <w:r>
        <w:rPr>
          <w:rFonts w:eastAsia="Times New Roman" w:cs="Times New Roman"/>
          <w:lang w:eastAsia="ru-RU"/>
        </w:rPr>
        <w:t>21 июня</w:t>
      </w:r>
      <w:r w:rsidRPr="00B82009">
        <w:rPr>
          <w:rFonts w:eastAsia="Times New Roman" w:cs="Times New Roman"/>
          <w:lang w:eastAsia="ru-RU"/>
        </w:rPr>
        <w:t xml:space="preserve"> 20</w:t>
      </w:r>
      <w:r>
        <w:rPr>
          <w:rFonts w:eastAsia="Times New Roman" w:cs="Times New Roman"/>
          <w:lang w:eastAsia="ru-RU"/>
        </w:rPr>
        <w:t>20</w:t>
      </w:r>
      <w:r w:rsidRPr="00B82009">
        <w:rPr>
          <w:rFonts w:eastAsia="Times New Roman" w:cs="Times New Roman"/>
          <w:lang w:eastAsia="ru-RU"/>
        </w:rPr>
        <w:t xml:space="preserve"> г. в 17:00</w:t>
      </w:r>
      <w:r>
        <w:rPr>
          <w:rFonts w:eastAsia="Times New Roman" w:cs="Times New Roman"/>
          <w:lang w:eastAsia="ru-RU"/>
        </w:rPr>
        <w:t>.</w:t>
      </w: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380359" w:rsidRDefault="006D40CF" w:rsidP="006D40C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Указанное в настоящем И</w:t>
      </w:r>
      <w:r w:rsidRPr="00380359">
        <w:rPr>
          <w:bCs/>
          <w:sz w:val="18"/>
          <w:szCs w:val="18"/>
        </w:rPr>
        <w:t xml:space="preserve">нформационном сообщении время – </w:t>
      </w:r>
      <w:r w:rsidR="006515E6">
        <w:rPr>
          <w:bCs/>
          <w:sz w:val="18"/>
          <w:szCs w:val="18"/>
        </w:rPr>
        <w:t>м</w:t>
      </w:r>
      <w:r w:rsidRPr="00380359">
        <w:rPr>
          <w:bCs/>
          <w:sz w:val="18"/>
          <w:szCs w:val="18"/>
        </w:rPr>
        <w:t>осковское</w:t>
      </w:r>
      <w:r w:rsidR="006162CB">
        <w:rPr>
          <w:bCs/>
          <w:sz w:val="18"/>
          <w:szCs w:val="18"/>
        </w:rPr>
        <w:t>.</w:t>
      </w:r>
    </w:p>
    <w:p w14:paraId="19B2F370" w14:textId="13560401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При исчислении</w:t>
      </w:r>
      <w:r>
        <w:rPr>
          <w:bCs/>
          <w:sz w:val="18"/>
          <w:szCs w:val="18"/>
        </w:rPr>
        <w:t xml:space="preserve"> сроков, указанных в настоящем И</w:t>
      </w:r>
      <w:r w:rsidRPr="00380359">
        <w:rPr>
          <w:bCs/>
          <w:sz w:val="18"/>
          <w:szCs w:val="18"/>
        </w:rPr>
        <w:t>нформационном сообщении</w:t>
      </w:r>
      <w:r>
        <w:rPr>
          <w:bCs/>
          <w:sz w:val="18"/>
          <w:szCs w:val="18"/>
        </w:rPr>
        <w:t>,</w:t>
      </w:r>
      <w:r w:rsidRPr="00380359">
        <w:rPr>
          <w:bCs/>
          <w:sz w:val="18"/>
          <w:szCs w:val="18"/>
        </w:rPr>
        <w:t xml:space="preserve"> принимается время сервера </w:t>
      </w:r>
    </w:p>
    <w:p w14:paraId="0131C231" w14:textId="65E46404" w:rsidR="006D40CF" w:rsidRDefault="006D40CF" w:rsidP="006D40CF">
      <w:pPr>
        <w:jc w:val="center"/>
        <w:rPr>
          <w:bCs/>
          <w:sz w:val="18"/>
          <w:szCs w:val="18"/>
        </w:rPr>
      </w:pPr>
      <w:r w:rsidRPr="00380359">
        <w:rPr>
          <w:bCs/>
          <w:sz w:val="18"/>
          <w:szCs w:val="18"/>
        </w:rPr>
        <w:t>электронной торговой площадки</w:t>
      </w:r>
      <w:r w:rsidR="006162CB">
        <w:rPr>
          <w:bCs/>
          <w:sz w:val="18"/>
          <w:szCs w:val="18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3AA70495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первоначальной цены продажи («английский»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0840EAB2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D312BA"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(далее – Объекты)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Default="005D2980" w:rsidP="00CD7EB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Лот № </w:t>
      </w:r>
      <w:r w:rsidR="00D50134">
        <w:rPr>
          <w:rFonts w:cs="Times New Roman"/>
          <w:b/>
        </w:rPr>
        <w:t>1</w:t>
      </w:r>
      <w:r>
        <w:rPr>
          <w:rFonts w:cs="Times New Roman"/>
          <w:b/>
        </w:rPr>
        <w:t>.</w:t>
      </w:r>
      <w:r w:rsidR="00A52786">
        <w:rPr>
          <w:rFonts w:cs="Times New Roman"/>
          <w:b/>
        </w:rPr>
        <w:t xml:space="preserve"> </w:t>
      </w:r>
    </w:p>
    <w:p w14:paraId="31618E81" w14:textId="3368345D" w:rsidR="004918F9" w:rsidRDefault="004918F9" w:rsidP="004918F9">
      <w:pPr>
        <w:pStyle w:val="Default"/>
        <w:ind w:firstLine="360"/>
        <w:jc w:val="both"/>
      </w:pPr>
      <w:r>
        <w:t>Н</w:t>
      </w:r>
      <w:r w:rsidRPr="00824442">
        <w:t>ежил</w:t>
      </w:r>
      <w:r>
        <w:t>о</w:t>
      </w:r>
      <w:r w:rsidRPr="00824442">
        <w:t xml:space="preserve">е </w:t>
      </w:r>
      <w:r>
        <w:t xml:space="preserve">помещение площадью 161,58 </w:t>
      </w:r>
      <w:proofErr w:type="spellStart"/>
      <w:r>
        <w:t>кв.м</w:t>
      </w:r>
      <w:proofErr w:type="spellEnd"/>
      <w:r>
        <w:t xml:space="preserve">. в нежилом встроенном помещении общей площадью 290,8 </w:t>
      </w:r>
      <w:proofErr w:type="spellStart"/>
      <w:r>
        <w:t>кв.м</w:t>
      </w:r>
      <w:proofErr w:type="spellEnd"/>
      <w:r>
        <w:t xml:space="preserve">., </w:t>
      </w:r>
      <w:r>
        <w:t>этажность 1</w:t>
      </w:r>
      <w:r w:rsidRPr="00824442">
        <w:t xml:space="preserve">, </w:t>
      </w:r>
      <w:r>
        <w:t xml:space="preserve">с </w:t>
      </w:r>
      <w:r w:rsidRPr="00824442">
        <w:t>кадастровым номер</w:t>
      </w:r>
      <w:r>
        <w:t xml:space="preserve">ом 31:07:0101001:174, </w:t>
      </w:r>
      <w:r w:rsidRPr="001F0ADC">
        <w:t>расположенно</w:t>
      </w:r>
      <w:r w:rsidRPr="001F0ADC">
        <w:t>м</w:t>
      </w:r>
      <w:r w:rsidRPr="001F0ADC">
        <w:t xml:space="preserve"> по адресу: Белгородская область, </w:t>
      </w:r>
      <w:proofErr w:type="spellStart"/>
      <w:r w:rsidRPr="001F0ADC">
        <w:t>Красненский</w:t>
      </w:r>
      <w:proofErr w:type="spellEnd"/>
      <w:r w:rsidRPr="001F0ADC">
        <w:t xml:space="preserve"> район, с. Красное, ул. Подгорная, д. 7, принадлежаще</w:t>
      </w:r>
      <w:r>
        <w:t>м Арендодателю</w:t>
      </w:r>
      <w:r w:rsidRPr="001F0ADC">
        <w:t xml:space="preserve"> на праве собственности, о чем в Едином</w:t>
      </w:r>
      <w:r w:rsidRPr="00824442">
        <w:t xml:space="preserve"> государственно</w:t>
      </w:r>
      <w:r>
        <w:t>м</w:t>
      </w:r>
      <w:r w:rsidRPr="00824442">
        <w:t xml:space="preserve"> реестр</w:t>
      </w:r>
      <w:r>
        <w:t>е</w:t>
      </w:r>
      <w:r w:rsidRPr="00824442">
        <w:t xml:space="preserve"> прав на недвижимое имущество и сделок с ним </w:t>
      </w:r>
      <w:r>
        <w:t>29.12.2000 г. сделана запись ре</w:t>
      </w:r>
      <w:r w:rsidR="001A4E1B">
        <w:t>гистрации № 31-01/15-1/2000-492.</w:t>
      </w:r>
    </w:p>
    <w:p w14:paraId="0CD255EA" w14:textId="77777777" w:rsidR="001A4E1B" w:rsidRDefault="001A4E1B" w:rsidP="004918F9">
      <w:pPr>
        <w:pStyle w:val="Default"/>
        <w:ind w:firstLine="360"/>
        <w:jc w:val="both"/>
      </w:pPr>
    </w:p>
    <w:p w14:paraId="7C36B285" w14:textId="0C490036" w:rsidR="001A4E1B" w:rsidRPr="001F0ADC" w:rsidRDefault="001A4E1B" w:rsidP="004918F9">
      <w:pPr>
        <w:pStyle w:val="Default"/>
        <w:ind w:firstLine="360"/>
        <w:jc w:val="both"/>
        <w:rPr>
          <w:b/>
        </w:rPr>
      </w:pPr>
      <w:r w:rsidRPr="001F0ADC">
        <w:rPr>
          <w:b/>
        </w:rPr>
        <w:t>Существенные условия договора аренды:</w:t>
      </w:r>
    </w:p>
    <w:p w14:paraId="6799DA4D" w14:textId="2943B286" w:rsidR="001A4E1B" w:rsidRDefault="001A4E1B" w:rsidP="001A4E1B">
      <w:pPr>
        <w:pStyle w:val="Default"/>
        <w:ind w:firstLine="360"/>
        <w:jc w:val="both"/>
      </w:pPr>
      <w:r>
        <w:t xml:space="preserve">Срок аренды – 11 (Одиннадцать) месяцев с даты </w:t>
      </w:r>
      <w:r>
        <w:t>подписания акта приема-передачи Объектов.</w:t>
      </w:r>
    </w:p>
    <w:p w14:paraId="1458AF24" w14:textId="5502FC3A" w:rsidR="001A4E1B" w:rsidRDefault="001A4E1B" w:rsidP="001A4E1B">
      <w:pPr>
        <w:pStyle w:val="Default"/>
        <w:ind w:firstLine="360"/>
        <w:jc w:val="both"/>
      </w:pPr>
      <w:r>
        <w:t>Обязательным условием в договоре аренды предусмотрены сроки проведения работ по обособлению служб Банка, окончание которых планируется не позднее 30.09.2020 г.</w:t>
      </w:r>
      <w:r w:rsidR="00A72E21">
        <w:t xml:space="preserve"> Объекты недвижимости передаются покупателю по акту приема-передачи после завершения работ по обособлению Объектов. Корректировка срока передачи Объектов возможна по соглашению сторон путем </w:t>
      </w:r>
      <w:r w:rsidR="001F0ADC">
        <w:t>заключения дополнительного соглашения к договору аренды.</w:t>
      </w:r>
    </w:p>
    <w:p w14:paraId="596B8137" w14:textId="77777777" w:rsidR="001A4E1B" w:rsidRDefault="001A4E1B" w:rsidP="004918F9">
      <w:pPr>
        <w:pStyle w:val="Default"/>
        <w:ind w:firstLine="360"/>
        <w:jc w:val="both"/>
      </w:pPr>
    </w:p>
    <w:p w14:paraId="3B25649E" w14:textId="77777777" w:rsidR="00AC55EA" w:rsidRPr="00E934F1" w:rsidRDefault="00AC55EA" w:rsidP="008F4DE7">
      <w:pPr>
        <w:jc w:val="both"/>
        <w:rPr>
          <w:rFonts w:cs="Times New Roman"/>
          <w:color w:val="000000" w:themeColor="text1"/>
        </w:rPr>
      </w:pPr>
    </w:p>
    <w:p w14:paraId="2171F64C" w14:textId="12245C65" w:rsidR="007609C6" w:rsidRPr="00856418" w:rsidRDefault="007609C6" w:rsidP="00C7606E">
      <w:pPr>
        <w:ind w:firstLine="540"/>
        <w:jc w:val="both"/>
        <w:rPr>
          <w:b/>
        </w:rPr>
      </w:pPr>
      <w:r w:rsidRPr="00856418">
        <w:rPr>
          <w:rFonts w:cs="Times New Roman"/>
          <w:b/>
        </w:rPr>
        <w:lastRenderedPageBreak/>
        <w:t xml:space="preserve">Начальная цена </w:t>
      </w:r>
      <w:r w:rsidR="00A9048C">
        <w:rPr>
          <w:rFonts w:cs="Times New Roman"/>
          <w:b/>
        </w:rPr>
        <w:t>Лота № 1</w:t>
      </w:r>
      <w:r w:rsidRPr="00856418">
        <w:rPr>
          <w:rFonts w:cs="Times New Roman"/>
          <w:b/>
        </w:rPr>
        <w:t xml:space="preserve"> (размер </w:t>
      </w:r>
      <w:r w:rsidR="00353ECD">
        <w:rPr>
          <w:rFonts w:cs="Times New Roman"/>
          <w:b/>
        </w:rPr>
        <w:t>ежемесячной</w:t>
      </w:r>
      <w:r w:rsidRPr="00856418">
        <w:rPr>
          <w:rFonts w:cs="Times New Roman"/>
          <w:b/>
        </w:rPr>
        <w:t xml:space="preserve"> арендной платы</w:t>
      </w:r>
      <w:r w:rsidR="003E79C5" w:rsidRPr="00814A63">
        <w:rPr>
          <w:rFonts w:cs="Times New Roman"/>
          <w:b/>
        </w:rPr>
        <w:t>)</w:t>
      </w:r>
      <w:r w:rsidRPr="00856418">
        <w:rPr>
          <w:rFonts w:cs="Times New Roman"/>
          <w:b/>
        </w:rPr>
        <w:t xml:space="preserve"> </w:t>
      </w:r>
      <w:r w:rsidR="003E79C5">
        <w:rPr>
          <w:rFonts w:cs="Times New Roman"/>
          <w:b/>
        </w:rPr>
        <w:t>–</w:t>
      </w:r>
      <w:r w:rsidR="0041799F">
        <w:rPr>
          <w:rFonts w:cs="Times New Roman"/>
          <w:b/>
        </w:rPr>
        <w:t xml:space="preserve"> </w:t>
      </w:r>
      <w:r w:rsidR="006337A0">
        <w:rPr>
          <w:rFonts w:cs="Times New Roman"/>
          <w:b/>
        </w:rPr>
        <w:t>31 992,84</w:t>
      </w:r>
      <w:r w:rsidR="001A4E1B" w:rsidRPr="001A4E1B">
        <w:t xml:space="preserve"> </w:t>
      </w:r>
      <w:r w:rsidR="001A4E1B">
        <w:t>(</w:t>
      </w:r>
      <w:r w:rsidR="001A4E1B" w:rsidRPr="001A4E1B">
        <w:rPr>
          <w:rFonts w:cs="Times New Roman"/>
          <w:b/>
        </w:rPr>
        <w:t>Тридцать одна тысяча девятьсот девяносто два рубля 84 копейки</w:t>
      </w:r>
      <w:r w:rsidR="001A4E1B">
        <w:rPr>
          <w:rFonts w:cs="Times New Roman"/>
          <w:b/>
        </w:rPr>
        <w:t>)</w:t>
      </w:r>
      <w:r w:rsidR="00F9228D">
        <w:rPr>
          <w:rFonts w:cs="Times New Roman"/>
          <w:b/>
        </w:rPr>
        <w:t xml:space="preserve">, </w:t>
      </w:r>
      <w:r w:rsidRPr="00856418">
        <w:rPr>
          <w:rFonts w:cs="Times New Roman"/>
          <w:b/>
        </w:rPr>
        <w:t xml:space="preserve">в том числе НДС 20% – </w:t>
      </w:r>
      <w:r w:rsidR="006337A0">
        <w:rPr>
          <w:rFonts w:cs="Times New Roman"/>
          <w:b/>
        </w:rPr>
        <w:t>5 332,14</w:t>
      </w:r>
      <w:r w:rsidR="001A4E1B" w:rsidRPr="001A4E1B">
        <w:t xml:space="preserve"> </w:t>
      </w:r>
      <w:r w:rsidR="001A4E1B">
        <w:t>(</w:t>
      </w:r>
      <w:r w:rsidR="001A4E1B" w:rsidRPr="001A4E1B">
        <w:rPr>
          <w:rFonts w:cs="Times New Roman"/>
          <w:b/>
        </w:rPr>
        <w:t>Пять тысяч триста тридцать два рубля 14 копеек</w:t>
      </w:r>
      <w:r w:rsidR="001A4E1B">
        <w:rPr>
          <w:rFonts w:cs="Times New Roman"/>
          <w:b/>
        </w:rPr>
        <w:t>).</w:t>
      </w:r>
    </w:p>
    <w:p w14:paraId="719BD2A7" w14:textId="77777777" w:rsidR="00E17C8D" w:rsidRDefault="00E17C8D" w:rsidP="007609C6">
      <w:pPr>
        <w:ind w:firstLine="540"/>
        <w:jc w:val="both"/>
        <w:rPr>
          <w:rFonts w:cs="Times New Roman"/>
          <w:b/>
        </w:rPr>
      </w:pPr>
    </w:p>
    <w:p w14:paraId="124EEA02" w14:textId="3C8F335F" w:rsidR="007609C6" w:rsidRPr="00856418" w:rsidRDefault="007609C6" w:rsidP="007609C6">
      <w:pPr>
        <w:ind w:firstLine="540"/>
        <w:jc w:val="both"/>
        <w:rPr>
          <w:b/>
        </w:rPr>
      </w:pPr>
      <w:r w:rsidRPr="00856418">
        <w:rPr>
          <w:rFonts w:cs="Times New Roman"/>
          <w:b/>
        </w:rPr>
        <w:t xml:space="preserve">Сумма задатка </w:t>
      </w:r>
      <w:r w:rsidR="003E79C5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1A4E1B">
        <w:rPr>
          <w:rFonts w:cs="Times New Roman"/>
          <w:b/>
        </w:rPr>
        <w:t>31 992,84</w:t>
      </w:r>
      <w:r w:rsidR="001A4E1B" w:rsidRPr="001A4E1B">
        <w:t xml:space="preserve"> </w:t>
      </w:r>
      <w:r w:rsidR="001A4E1B">
        <w:t>(</w:t>
      </w:r>
      <w:r w:rsidR="001A4E1B" w:rsidRPr="001A4E1B">
        <w:rPr>
          <w:rFonts w:cs="Times New Roman"/>
          <w:b/>
        </w:rPr>
        <w:t>Тридцать одна тысяча девятьсот девяносто два рубля 84 копейки</w:t>
      </w:r>
      <w:r w:rsidR="001A4E1B">
        <w:rPr>
          <w:rFonts w:cs="Times New Roman"/>
          <w:b/>
        </w:rPr>
        <w:t>).</w:t>
      </w:r>
    </w:p>
    <w:p w14:paraId="2302A9B4" w14:textId="0307ADE8" w:rsidR="00A803FB" w:rsidRDefault="007609C6" w:rsidP="008F4DE7">
      <w:pPr>
        <w:ind w:firstLine="540"/>
        <w:jc w:val="both"/>
        <w:rPr>
          <w:rFonts w:cs="Times New Roman"/>
          <w:b/>
        </w:rPr>
      </w:pPr>
      <w:r w:rsidRPr="00856418">
        <w:rPr>
          <w:rFonts w:cs="Times New Roman"/>
          <w:b/>
        </w:rPr>
        <w:t xml:space="preserve">Шаг аукциона на повышение </w:t>
      </w:r>
      <w:r w:rsidR="003B0698">
        <w:rPr>
          <w:rFonts w:cs="Times New Roman"/>
          <w:b/>
        </w:rPr>
        <w:t>–</w:t>
      </w:r>
      <w:r w:rsidR="00856418">
        <w:rPr>
          <w:rFonts w:cs="Times New Roman"/>
          <w:b/>
        </w:rPr>
        <w:t xml:space="preserve"> </w:t>
      </w:r>
      <w:r w:rsidR="001A4E1B">
        <w:rPr>
          <w:rFonts w:cs="Times New Roman"/>
          <w:b/>
        </w:rPr>
        <w:t>3 199,28 (</w:t>
      </w:r>
      <w:r w:rsidR="001A4E1B" w:rsidRPr="001A4E1B">
        <w:rPr>
          <w:rFonts w:cs="Times New Roman"/>
          <w:b/>
        </w:rPr>
        <w:t>Три тысячи сто девяносто девять рублей 28 копеек</w:t>
      </w:r>
      <w:r w:rsidR="001A4E1B">
        <w:rPr>
          <w:rFonts w:cs="Times New Roman"/>
          <w:b/>
        </w:rPr>
        <w:t>).</w:t>
      </w:r>
    </w:p>
    <w:p w14:paraId="1A2EA58F" w14:textId="77777777" w:rsidR="007B4B9E" w:rsidRDefault="007B4B9E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57046AE" w14:textId="77777777" w:rsidR="00065843" w:rsidRDefault="00065843" w:rsidP="008F4DE7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BCF7045" w14:textId="57C543AC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2B06D0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>нахождения и места 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388B9FF8" w14:textId="6606F078" w:rsidR="004122D5" w:rsidRPr="006876A6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77B0B2D8" w14:textId="77777777" w:rsidR="00AA7244" w:rsidRPr="00A806F9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6876A6" w:rsidRDefault="006B2B66" w:rsidP="006B2B66">
      <w:pPr>
        <w:ind w:firstLine="709"/>
        <w:jc w:val="both"/>
        <w:rPr>
          <w:color w:val="000000"/>
        </w:rPr>
      </w:pPr>
      <w:r w:rsidRPr="006876A6">
        <w:rPr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D84852" w:rsidRDefault="006B2B66" w:rsidP="006B2B66">
      <w:pPr>
        <w:ind w:firstLine="709"/>
        <w:jc w:val="both"/>
      </w:pPr>
      <w:r w:rsidRPr="00D84852">
        <w:lastRenderedPageBreak/>
        <w:t>2.2. Юридические лица:</w:t>
      </w:r>
    </w:p>
    <w:p w14:paraId="5343A043" w14:textId="77777777" w:rsidR="006B2B66" w:rsidRDefault="006B2B66" w:rsidP="006B2B66">
      <w:pPr>
        <w:ind w:firstLine="709"/>
        <w:jc w:val="both"/>
      </w:pPr>
      <w:r>
        <w:t>-</w:t>
      </w:r>
      <w:r w:rsidRPr="000317EA">
        <w:t xml:space="preserve"> Учредительные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7777777" w:rsidR="006B2B66" w:rsidRPr="00D84852" w:rsidRDefault="006B2B66" w:rsidP="006B2B66">
      <w:pPr>
        <w:ind w:firstLine="709"/>
        <w:jc w:val="both"/>
      </w:pPr>
      <w:r w:rsidRPr="00D848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D84852" w:rsidRDefault="006B2B66" w:rsidP="006B2B66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Pr="00D84852">
        <w:t>;</w:t>
      </w:r>
    </w:p>
    <w:p w14:paraId="525E52C1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75DBED5" w14:textId="3558AB46" w:rsidR="006B2B66" w:rsidRPr="006876A6" w:rsidRDefault="006B2B66" w:rsidP="00E934F1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7777777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 xml:space="preserve">ПАО </w:t>
      </w:r>
      <w:r>
        <w:t>«</w:t>
      </w:r>
      <w:r w:rsidRPr="00F15874">
        <w:t>Сбербанк</w:t>
      </w:r>
      <w:r>
        <w:t xml:space="preserve"> России»</w:t>
      </w:r>
      <w:r w:rsidRPr="00F15874">
        <w:t>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77777777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 сообщении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lastRenderedPageBreak/>
        <w:t>Задаток перечисляется непосредственно стороной по договору о задатке (договору присоединения).</w:t>
      </w:r>
    </w:p>
    <w:p w14:paraId="42809BD6" w14:textId="77777777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 (присвоенный электронной площадкой РАД-</w:t>
      </w:r>
      <w:proofErr w:type="spellStart"/>
      <w:r>
        <w:t>ххххх</w:t>
      </w:r>
      <w:proofErr w:type="spellEnd"/>
      <w:r>
        <w:t xml:space="preserve">). </w:t>
      </w:r>
    </w:p>
    <w:p w14:paraId="6B70102C" w14:textId="43FDEA24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 /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 / 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 xml:space="preserve">, направив об этом уведомление на электронную площадку. Уведомление об отзыве заявки вместе с заявкой поступает в «личный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77777777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 сообщении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1805B39C" w14:textId="7777777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</w:p>
    <w:p w14:paraId="2DC837FF" w14:textId="50D615C9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Pr="009E589A">
        <w:t>нформационном сообщени</w:t>
      </w:r>
      <w:r>
        <w:t>и</w:t>
      </w:r>
      <w:r w:rsidRPr="008F651C">
        <w:t>;</w:t>
      </w:r>
    </w:p>
    <w:p w14:paraId="751900AF" w14:textId="77777777" w:rsidR="006B2B66" w:rsidRPr="009E589A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040A404C" w:rsidR="006B2B66" w:rsidRPr="006876A6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9E589A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85D3106" w14:textId="02C54D84" w:rsidR="007F55A6" w:rsidRPr="006876A6" w:rsidRDefault="006B2B66" w:rsidP="00264FB8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lastRenderedPageBreak/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6E932658" w14:textId="77777777" w:rsidR="001F0ADC" w:rsidRDefault="001F0ADC" w:rsidP="006B2B66">
      <w:pPr>
        <w:ind w:firstLine="709"/>
        <w:jc w:val="center"/>
        <w:rPr>
          <w:b/>
        </w:rPr>
      </w:pPr>
    </w:p>
    <w:p w14:paraId="3DF82AD5" w14:textId="0343BFF2" w:rsidR="006B2B66" w:rsidRDefault="006B2B66" w:rsidP="006B2B66">
      <w:pPr>
        <w:ind w:firstLine="709"/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18DA4A06" w:rsidR="006B2B66" w:rsidRDefault="006B2B66" w:rsidP="006B2B66">
      <w:pPr>
        <w:ind w:firstLine="709"/>
        <w:jc w:val="both"/>
      </w:pPr>
      <w:r>
        <w:t>Порядок проведения торгов на повышение (</w:t>
      </w:r>
      <w:r w:rsidR="000502DB">
        <w:t>«</w:t>
      </w:r>
      <w:r>
        <w:t>английский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36383F2B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0B983291" w:rsidR="006B2B66" w:rsidRDefault="006B2B66" w:rsidP="006B2B66">
      <w:pPr>
        <w:ind w:firstLine="709"/>
        <w:jc w:val="both"/>
      </w:pPr>
      <w:r>
        <w:t>При уклонении (отказе) победителя аукциона /</w:t>
      </w:r>
      <w:r w:rsidRPr="00D73694">
        <w:t xml:space="preserve"> </w:t>
      </w:r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0E347A64" w:rsidR="006B2B66" w:rsidRPr="000E32A5" w:rsidRDefault="006B2B66" w:rsidP="0082752B">
      <w:pPr>
        <w:ind w:right="-57" w:firstLine="709"/>
        <w:jc w:val="both"/>
        <w:rPr>
          <w:b/>
        </w:rPr>
      </w:pPr>
      <w:r w:rsidRPr="000E32A5">
        <w:rPr>
          <w:b/>
          <w:bCs/>
        </w:rPr>
        <w:t>В случае признания аукциона в электронной</w:t>
      </w:r>
      <w:r w:rsidR="00E8592C" w:rsidRPr="000E32A5">
        <w:rPr>
          <w:b/>
          <w:bCs/>
        </w:rPr>
        <w:t xml:space="preserve"> ф</w:t>
      </w:r>
      <w:r w:rsidRPr="000E32A5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0E32A5">
        <w:rPr>
          <w:b/>
        </w:rPr>
        <w:t xml:space="preserve">договор аренды может быть заключен с единственным участником аукциона по </w:t>
      </w:r>
      <w:r w:rsidR="001736F8" w:rsidRPr="000E32A5">
        <w:rPr>
          <w:b/>
        </w:rPr>
        <w:t xml:space="preserve">цене не ниже </w:t>
      </w:r>
      <w:r w:rsidRPr="000E32A5">
        <w:rPr>
          <w:b/>
        </w:rPr>
        <w:t>начальной</w:t>
      </w:r>
      <w:r w:rsidR="001736F8" w:rsidRPr="000E32A5">
        <w:rPr>
          <w:b/>
        </w:rPr>
        <w:t xml:space="preserve">, применявшейся для целей несостоявшихся торгов, </w:t>
      </w:r>
      <w:r w:rsidRPr="000E32A5">
        <w:rPr>
          <w:b/>
        </w:rPr>
        <w:t xml:space="preserve">в течение </w:t>
      </w:r>
      <w:r w:rsidR="000875EA" w:rsidRPr="000E32A5">
        <w:rPr>
          <w:b/>
        </w:rPr>
        <w:t>10</w:t>
      </w:r>
      <w:r w:rsidRPr="000E32A5">
        <w:rPr>
          <w:b/>
        </w:rPr>
        <w:t xml:space="preserve"> (</w:t>
      </w:r>
      <w:r w:rsidR="000875EA" w:rsidRPr="000E32A5">
        <w:rPr>
          <w:b/>
        </w:rPr>
        <w:t>десяти</w:t>
      </w:r>
      <w:r w:rsidRPr="000E32A5">
        <w:rPr>
          <w:b/>
        </w:rPr>
        <w:t xml:space="preserve">) рабочих дней с даты признания аукциона несостоявшимся. </w:t>
      </w:r>
    </w:p>
    <w:p w14:paraId="71EB6860" w14:textId="02763B2D" w:rsidR="006B2B66" w:rsidRPr="00FC5D75" w:rsidRDefault="006B2B66" w:rsidP="0016674E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715D224C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2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F4">
          <w:rPr>
            <w:noProof/>
          </w:rPr>
          <w:t>5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33F1"/>
    <w:rsid w:val="00016788"/>
    <w:rsid w:val="00023434"/>
    <w:rsid w:val="000268F1"/>
    <w:rsid w:val="000322C6"/>
    <w:rsid w:val="0003510A"/>
    <w:rsid w:val="00040903"/>
    <w:rsid w:val="000502DB"/>
    <w:rsid w:val="00054B55"/>
    <w:rsid w:val="00057099"/>
    <w:rsid w:val="00057A9C"/>
    <w:rsid w:val="00062580"/>
    <w:rsid w:val="0006291B"/>
    <w:rsid w:val="00065511"/>
    <w:rsid w:val="00065843"/>
    <w:rsid w:val="000678BF"/>
    <w:rsid w:val="0007210E"/>
    <w:rsid w:val="00074B2C"/>
    <w:rsid w:val="000754ED"/>
    <w:rsid w:val="00075D4B"/>
    <w:rsid w:val="00080B5D"/>
    <w:rsid w:val="0008134C"/>
    <w:rsid w:val="000846CC"/>
    <w:rsid w:val="0008518D"/>
    <w:rsid w:val="000853D9"/>
    <w:rsid w:val="00085858"/>
    <w:rsid w:val="000875EA"/>
    <w:rsid w:val="0009015D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3B0"/>
    <w:rsid w:val="000C0F2E"/>
    <w:rsid w:val="000C1F63"/>
    <w:rsid w:val="000C7312"/>
    <w:rsid w:val="000D2558"/>
    <w:rsid w:val="000D3E9E"/>
    <w:rsid w:val="000D58B6"/>
    <w:rsid w:val="000D723D"/>
    <w:rsid w:val="000D7635"/>
    <w:rsid w:val="000E09F6"/>
    <w:rsid w:val="000E1291"/>
    <w:rsid w:val="000E32A5"/>
    <w:rsid w:val="000E3CA1"/>
    <w:rsid w:val="000E4FAF"/>
    <w:rsid w:val="000E5CC6"/>
    <w:rsid w:val="000F01BB"/>
    <w:rsid w:val="000F4389"/>
    <w:rsid w:val="000F5A80"/>
    <w:rsid w:val="001024DB"/>
    <w:rsid w:val="00106137"/>
    <w:rsid w:val="00106C46"/>
    <w:rsid w:val="00107CF3"/>
    <w:rsid w:val="001128AE"/>
    <w:rsid w:val="001202C7"/>
    <w:rsid w:val="0012401A"/>
    <w:rsid w:val="00125921"/>
    <w:rsid w:val="00127656"/>
    <w:rsid w:val="00135544"/>
    <w:rsid w:val="0013590D"/>
    <w:rsid w:val="00135CC4"/>
    <w:rsid w:val="00135DBA"/>
    <w:rsid w:val="001368AC"/>
    <w:rsid w:val="00141798"/>
    <w:rsid w:val="0014259B"/>
    <w:rsid w:val="00150EC7"/>
    <w:rsid w:val="00157773"/>
    <w:rsid w:val="00161880"/>
    <w:rsid w:val="001621C8"/>
    <w:rsid w:val="00163D7E"/>
    <w:rsid w:val="0016674E"/>
    <w:rsid w:val="00166FBE"/>
    <w:rsid w:val="001719FF"/>
    <w:rsid w:val="0017301E"/>
    <w:rsid w:val="001736F8"/>
    <w:rsid w:val="00177779"/>
    <w:rsid w:val="00181586"/>
    <w:rsid w:val="0018445C"/>
    <w:rsid w:val="001850B4"/>
    <w:rsid w:val="001907AC"/>
    <w:rsid w:val="00191D7E"/>
    <w:rsid w:val="00192CB1"/>
    <w:rsid w:val="00194CA0"/>
    <w:rsid w:val="001961C4"/>
    <w:rsid w:val="00197D9F"/>
    <w:rsid w:val="001A045B"/>
    <w:rsid w:val="001A14D9"/>
    <w:rsid w:val="001A28D8"/>
    <w:rsid w:val="001A3837"/>
    <w:rsid w:val="001A4E1B"/>
    <w:rsid w:val="001A527A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0ADC"/>
    <w:rsid w:val="001F1CCB"/>
    <w:rsid w:val="001F2512"/>
    <w:rsid w:val="001F5291"/>
    <w:rsid w:val="001F58BE"/>
    <w:rsid w:val="002019BE"/>
    <w:rsid w:val="0020530F"/>
    <w:rsid w:val="00206BB0"/>
    <w:rsid w:val="00206F62"/>
    <w:rsid w:val="00207FBC"/>
    <w:rsid w:val="00210F8B"/>
    <w:rsid w:val="00217288"/>
    <w:rsid w:val="002176BC"/>
    <w:rsid w:val="002222DC"/>
    <w:rsid w:val="00223714"/>
    <w:rsid w:val="0022383B"/>
    <w:rsid w:val="00225235"/>
    <w:rsid w:val="002307AC"/>
    <w:rsid w:val="002313E0"/>
    <w:rsid w:val="002331CF"/>
    <w:rsid w:val="00235EFD"/>
    <w:rsid w:val="00235F7F"/>
    <w:rsid w:val="002361E1"/>
    <w:rsid w:val="00240C1A"/>
    <w:rsid w:val="002421C1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5755E"/>
    <w:rsid w:val="00260A79"/>
    <w:rsid w:val="00262393"/>
    <w:rsid w:val="002646A6"/>
    <w:rsid w:val="00264FB8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92AF1"/>
    <w:rsid w:val="002957C9"/>
    <w:rsid w:val="00296BFC"/>
    <w:rsid w:val="00296EB2"/>
    <w:rsid w:val="002972BB"/>
    <w:rsid w:val="002A0E3E"/>
    <w:rsid w:val="002A108A"/>
    <w:rsid w:val="002A3A02"/>
    <w:rsid w:val="002A4074"/>
    <w:rsid w:val="002A4D84"/>
    <w:rsid w:val="002A5F5E"/>
    <w:rsid w:val="002A744B"/>
    <w:rsid w:val="002B06D0"/>
    <w:rsid w:val="002B1806"/>
    <w:rsid w:val="002B5AA6"/>
    <w:rsid w:val="002C12A3"/>
    <w:rsid w:val="002C691F"/>
    <w:rsid w:val="002C76B6"/>
    <w:rsid w:val="002D1BBB"/>
    <w:rsid w:val="002D2FB9"/>
    <w:rsid w:val="002E022A"/>
    <w:rsid w:val="002E03DC"/>
    <w:rsid w:val="002E2999"/>
    <w:rsid w:val="002E4E79"/>
    <w:rsid w:val="002E555D"/>
    <w:rsid w:val="002E62CD"/>
    <w:rsid w:val="002E6DBC"/>
    <w:rsid w:val="002F0D5B"/>
    <w:rsid w:val="002F11F2"/>
    <w:rsid w:val="002F53C6"/>
    <w:rsid w:val="0030050B"/>
    <w:rsid w:val="00301488"/>
    <w:rsid w:val="00305E74"/>
    <w:rsid w:val="0031173C"/>
    <w:rsid w:val="00311EA5"/>
    <w:rsid w:val="00322CF0"/>
    <w:rsid w:val="00324950"/>
    <w:rsid w:val="003251F7"/>
    <w:rsid w:val="003331C8"/>
    <w:rsid w:val="00341462"/>
    <w:rsid w:val="00350B3B"/>
    <w:rsid w:val="00353ECD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6273"/>
    <w:rsid w:val="003774E1"/>
    <w:rsid w:val="0037794A"/>
    <w:rsid w:val="00380F9A"/>
    <w:rsid w:val="00382967"/>
    <w:rsid w:val="0038471D"/>
    <w:rsid w:val="003861EE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698"/>
    <w:rsid w:val="003B0AF3"/>
    <w:rsid w:val="003B2300"/>
    <w:rsid w:val="003B3040"/>
    <w:rsid w:val="003B3841"/>
    <w:rsid w:val="003B507D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56E"/>
    <w:rsid w:val="003E79C5"/>
    <w:rsid w:val="003E7A7F"/>
    <w:rsid w:val="003F2E12"/>
    <w:rsid w:val="003F4382"/>
    <w:rsid w:val="0040030F"/>
    <w:rsid w:val="00402D44"/>
    <w:rsid w:val="00405054"/>
    <w:rsid w:val="00405C17"/>
    <w:rsid w:val="00405CAC"/>
    <w:rsid w:val="0040615F"/>
    <w:rsid w:val="00407235"/>
    <w:rsid w:val="004122D5"/>
    <w:rsid w:val="0041329A"/>
    <w:rsid w:val="0041425C"/>
    <w:rsid w:val="0041498B"/>
    <w:rsid w:val="0041586E"/>
    <w:rsid w:val="00415F38"/>
    <w:rsid w:val="0041799F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56A"/>
    <w:rsid w:val="0044143C"/>
    <w:rsid w:val="00445500"/>
    <w:rsid w:val="004461BF"/>
    <w:rsid w:val="00446739"/>
    <w:rsid w:val="00446B76"/>
    <w:rsid w:val="00447E9D"/>
    <w:rsid w:val="00451F86"/>
    <w:rsid w:val="004534D2"/>
    <w:rsid w:val="004556FA"/>
    <w:rsid w:val="00455768"/>
    <w:rsid w:val="00456D7D"/>
    <w:rsid w:val="00457B76"/>
    <w:rsid w:val="004608AB"/>
    <w:rsid w:val="004633EB"/>
    <w:rsid w:val="0046757E"/>
    <w:rsid w:val="004677DB"/>
    <w:rsid w:val="00470AC3"/>
    <w:rsid w:val="00470E8C"/>
    <w:rsid w:val="0047101E"/>
    <w:rsid w:val="00471A1D"/>
    <w:rsid w:val="00473877"/>
    <w:rsid w:val="00476230"/>
    <w:rsid w:val="00476612"/>
    <w:rsid w:val="00476A1F"/>
    <w:rsid w:val="00480496"/>
    <w:rsid w:val="0048196D"/>
    <w:rsid w:val="004855A4"/>
    <w:rsid w:val="00487589"/>
    <w:rsid w:val="004918F9"/>
    <w:rsid w:val="004923C1"/>
    <w:rsid w:val="0049449F"/>
    <w:rsid w:val="00496842"/>
    <w:rsid w:val="004968DD"/>
    <w:rsid w:val="004A0113"/>
    <w:rsid w:val="004A48BA"/>
    <w:rsid w:val="004A619E"/>
    <w:rsid w:val="004A68B6"/>
    <w:rsid w:val="004A68F2"/>
    <w:rsid w:val="004A70AE"/>
    <w:rsid w:val="004B2B26"/>
    <w:rsid w:val="004B5393"/>
    <w:rsid w:val="004B545D"/>
    <w:rsid w:val="004B5A55"/>
    <w:rsid w:val="004B659A"/>
    <w:rsid w:val="004B7DB9"/>
    <w:rsid w:val="004C3A02"/>
    <w:rsid w:val="004C5C0D"/>
    <w:rsid w:val="004D01CD"/>
    <w:rsid w:val="004D2704"/>
    <w:rsid w:val="004D2A1D"/>
    <w:rsid w:val="004D6360"/>
    <w:rsid w:val="004E078E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7D2C"/>
    <w:rsid w:val="0052106F"/>
    <w:rsid w:val="005223DF"/>
    <w:rsid w:val="005230B5"/>
    <w:rsid w:val="005236DB"/>
    <w:rsid w:val="00526163"/>
    <w:rsid w:val="005355D5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1541"/>
    <w:rsid w:val="00565035"/>
    <w:rsid w:val="00565AAB"/>
    <w:rsid w:val="005671ED"/>
    <w:rsid w:val="00572D8F"/>
    <w:rsid w:val="00576518"/>
    <w:rsid w:val="0058086F"/>
    <w:rsid w:val="005838D0"/>
    <w:rsid w:val="00584EDD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3635"/>
    <w:rsid w:val="005C4C66"/>
    <w:rsid w:val="005C59FF"/>
    <w:rsid w:val="005C6041"/>
    <w:rsid w:val="005C7AA4"/>
    <w:rsid w:val="005D2980"/>
    <w:rsid w:val="005D3F81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5D9E"/>
    <w:rsid w:val="006107E8"/>
    <w:rsid w:val="006111F8"/>
    <w:rsid w:val="00612847"/>
    <w:rsid w:val="006129FA"/>
    <w:rsid w:val="006130F0"/>
    <w:rsid w:val="00613447"/>
    <w:rsid w:val="0061423A"/>
    <w:rsid w:val="006162CB"/>
    <w:rsid w:val="006206D5"/>
    <w:rsid w:val="00621636"/>
    <w:rsid w:val="006337A0"/>
    <w:rsid w:val="00633A65"/>
    <w:rsid w:val="00640D25"/>
    <w:rsid w:val="0064152D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236A"/>
    <w:rsid w:val="006662B3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654B"/>
    <w:rsid w:val="00686F09"/>
    <w:rsid w:val="00690819"/>
    <w:rsid w:val="006915F2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1F75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1D38"/>
    <w:rsid w:val="006E2E65"/>
    <w:rsid w:val="006E70A9"/>
    <w:rsid w:val="006E7E79"/>
    <w:rsid w:val="006F1533"/>
    <w:rsid w:val="006F3B0E"/>
    <w:rsid w:val="006F40FD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6385"/>
    <w:rsid w:val="007369D7"/>
    <w:rsid w:val="00736E10"/>
    <w:rsid w:val="00736F8B"/>
    <w:rsid w:val="00740AF6"/>
    <w:rsid w:val="007418D7"/>
    <w:rsid w:val="007449A1"/>
    <w:rsid w:val="0074549D"/>
    <w:rsid w:val="00746372"/>
    <w:rsid w:val="00746A85"/>
    <w:rsid w:val="007516E9"/>
    <w:rsid w:val="00752754"/>
    <w:rsid w:val="007573A0"/>
    <w:rsid w:val="007609C6"/>
    <w:rsid w:val="007615D5"/>
    <w:rsid w:val="007617A6"/>
    <w:rsid w:val="00761A51"/>
    <w:rsid w:val="007625B0"/>
    <w:rsid w:val="00767F77"/>
    <w:rsid w:val="00773715"/>
    <w:rsid w:val="007750C6"/>
    <w:rsid w:val="0077548C"/>
    <w:rsid w:val="0077557F"/>
    <w:rsid w:val="00782556"/>
    <w:rsid w:val="007835E9"/>
    <w:rsid w:val="00784DC5"/>
    <w:rsid w:val="00785783"/>
    <w:rsid w:val="007917CE"/>
    <w:rsid w:val="00791FE5"/>
    <w:rsid w:val="00795963"/>
    <w:rsid w:val="007A1AC1"/>
    <w:rsid w:val="007B4B9E"/>
    <w:rsid w:val="007B5A6C"/>
    <w:rsid w:val="007B5DFB"/>
    <w:rsid w:val="007C721F"/>
    <w:rsid w:val="007C7D77"/>
    <w:rsid w:val="007D39F1"/>
    <w:rsid w:val="007D3C05"/>
    <w:rsid w:val="007D51DD"/>
    <w:rsid w:val="007D79A7"/>
    <w:rsid w:val="007E07B3"/>
    <w:rsid w:val="007E5B39"/>
    <w:rsid w:val="007E5F95"/>
    <w:rsid w:val="007E6AD5"/>
    <w:rsid w:val="007F0339"/>
    <w:rsid w:val="007F3522"/>
    <w:rsid w:val="007F3ADC"/>
    <w:rsid w:val="007F55A6"/>
    <w:rsid w:val="007F57CF"/>
    <w:rsid w:val="008012F4"/>
    <w:rsid w:val="008024D8"/>
    <w:rsid w:val="00806F73"/>
    <w:rsid w:val="00807925"/>
    <w:rsid w:val="008105B9"/>
    <w:rsid w:val="00814A63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10B5"/>
    <w:rsid w:val="008A1CA6"/>
    <w:rsid w:val="008A1F05"/>
    <w:rsid w:val="008A2402"/>
    <w:rsid w:val="008A6AFE"/>
    <w:rsid w:val="008B0EB8"/>
    <w:rsid w:val="008B15B1"/>
    <w:rsid w:val="008B42D3"/>
    <w:rsid w:val="008B5D8E"/>
    <w:rsid w:val="008B7F48"/>
    <w:rsid w:val="008C17F9"/>
    <w:rsid w:val="008C1AA1"/>
    <w:rsid w:val="008C3C9F"/>
    <w:rsid w:val="008C5B0E"/>
    <w:rsid w:val="008C762E"/>
    <w:rsid w:val="008D019C"/>
    <w:rsid w:val="008D01DF"/>
    <w:rsid w:val="008D07D3"/>
    <w:rsid w:val="008D0CA9"/>
    <w:rsid w:val="008D1E5D"/>
    <w:rsid w:val="008D7778"/>
    <w:rsid w:val="008E0709"/>
    <w:rsid w:val="008E2DB9"/>
    <w:rsid w:val="008E4510"/>
    <w:rsid w:val="008E565E"/>
    <w:rsid w:val="008F14EB"/>
    <w:rsid w:val="008F214E"/>
    <w:rsid w:val="008F2BD2"/>
    <w:rsid w:val="008F34D6"/>
    <w:rsid w:val="008F39FB"/>
    <w:rsid w:val="008F3CCD"/>
    <w:rsid w:val="008F4DE7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551F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3282"/>
    <w:rsid w:val="009A37D3"/>
    <w:rsid w:val="009A512E"/>
    <w:rsid w:val="009A6744"/>
    <w:rsid w:val="009A6CD1"/>
    <w:rsid w:val="009B1496"/>
    <w:rsid w:val="009B3ECE"/>
    <w:rsid w:val="009B3EF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A02255"/>
    <w:rsid w:val="00A06E1C"/>
    <w:rsid w:val="00A0742A"/>
    <w:rsid w:val="00A1094F"/>
    <w:rsid w:val="00A1205D"/>
    <w:rsid w:val="00A1222F"/>
    <w:rsid w:val="00A139E6"/>
    <w:rsid w:val="00A143CB"/>
    <w:rsid w:val="00A14EC0"/>
    <w:rsid w:val="00A153F4"/>
    <w:rsid w:val="00A170B8"/>
    <w:rsid w:val="00A2372D"/>
    <w:rsid w:val="00A24664"/>
    <w:rsid w:val="00A266B2"/>
    <w:rsid w:val="00A31780"/>
    <w:rsid w:val="00A323F7"/>
    <w:rsid w:val="00A347A4"/>
    <w:rsid w:val="00A34A21"/>
    <w:rsid w:val="00A34FB5"/>
    <w:rsid w:val="00A35911"/>
    <w:rsid w:val="00A36552"/>
    <w:rsid w:val="00A41325"/>
    <w:rsid w:val="00A41797"/>
    <w:rsid w:val="00A41C6D"/>
    <w:rsid w:val="00A427D3"/>
    <w:rsid w:val="00A43B94"/>
    <w:rsid w:val="00A43F66"/>
    <w:rsid w:val="00A44077"/>
    <w:rsid w:val="00A478B2"/>
    <w:rsid w:val="00A52786"/>
    <w:rsid w:val="00A5332E"/>
    <w:rsid w:val="00A54A68"/>
    <w:rsid w:val="00A626F2"/>
    <w:rsid w:val="00A669F9"/>
    <w:rsid w:val="00A71837"/>
    <w:rsid w:val="00A72643"/>
    <w:rsid w:val="00A72E0F"/>
    <w:rsid w:val="00A72E21"/>
    <w:rsid w:val="00A73BB1"/>
    <w:rsid w:val="00A73BF8"/>
    <w:rsid w:val="00A74FE1"/>
    <w:rsid w:val="00A766FD"/>
    <w:rsid w:val="00A7758A"/>
    <w:rsid w:val="00A803FB"/>
    <w:rsid w:val="00A806F9"/>
    <w:rsid w:val="00A80B4E"/>
    <w:rsid w:val="00A81485"/>
    <w:rsid w:val="00A850F6"/>
    <w:rsid w:val="00A9048C"/>
    <w:rsid w:val="00A90546"/>
    <w:rsid w:val="00A90B7D"/>
    <w:rsid w:val="00A92D24"/>
    <w:rsid w:val="00A946FC"/>
    <w:rsid w:val="00A94981"/>
    <w:rsid w:val="00AA02D7"/>
    <w:rsid w:val="00AA044B"/>
    <w:rsid w:val="00AA08E4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50B3"/>
    <w:rsid w:val="00AC55EA"/>
    <w:rsid w:val="00AC6047"/>
    <w:rsid w:val="00AC67DB"/>
    <w:rsid w:val="00AC6E26"/>
    <w:rsid w:val="00AD1ACC"/>
    <w:rsid w:val="00AD1DAB"/>
    <w:rsid w:val="00AD21BE"/>
    <w:rsid w:val="00AD6B35"/>
    <w:rsid w:val="00AD6DF5"/>
    <w:rsid w:val="00AD7C9E"/>
    <w:rsid w:val="00AE3097"/>
    <w:rsid w:val="00AE418B"/>
    <w:rsid w:val="00AE50BF"/>
    <w:rsid w:val="00AF027B"/>
    <w:rsid w:val="00AF4318"/>
    <w:rsid w:val="00AF491A"/>
    <w:rsid w:val="00AF774B"/>
    <w:rsid w:val="00B00B16"/>
    <w:rsid w:val="00B04AC9"/>
    <w:rsid w:val="00B04FEF"/>
    <w:rsid w:val="00B139EC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406B2"/>
    <w:rsid w:val="00B4158B"/>
    <w:rsid w:val="00B43CE4"/>
    <w:rsid w:val="00B44D5B"/>
    <w:rsid w:val="00B45515"/>
    <w:rsid w:val="00B504B2"/>
    <w:rsid w:val="00B5066B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875C3"/>
    <w:rsid w:val="00B90516"/>
    <w:rsid w:val="00B9154C"/>
    <w:rsid w:val="00B967B9"/>
    <w:rsid w:val="00B97002"/>
    <w:rsid w:val="00BA18E0"/>
    <w:rsid w:val="00BA2299"/>
    <w:rsid w:val="00BA2613"/>
    <w:rsid w:val="00BA60B9"/>
    <w:rsid w:val="00BB05B0"/>
    <w:rsid w:val="00BB3871"/>
    <w:rsid w:val="00BB3D5F"/>
    <w:rsid w:val="00BB7AFF"/>
    <w:rsid w:val="00BC2B78"/>
    <w:rsid w:val="00BC2EE5"/>
    <w:rsid w:val="00BC2F39"/>
    <w:rsid w:val="00BC3522"/>
    <w:rsid w:val="00BC421E"/>
    <w:rsid w:val="00BC5887"/>
    <w:rsid w:val="00BC68BE"/>
    <w:rsid w:val="00BD14E6"/>
    <w:rsid w:val="00BD281F"/>
    <w:rsid w:val="00BD3E56"/>
    <w:rsid w:val="00BD73FE"/>
    <w:rsid w:val="00BD760A"/>
    <w:rsid w:val="00BE20DD"/>
    <w:rsid w:val="00BE381C"/>
    <w:rsid w:val="00BE61AC"/>
    <w:rsid w:val="00BE634C"/>
    <w:rsid w:val="00BF161C"/>
    <w:rsid w:val="00BF44D9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B56"/>
    <w:rsid w:val="00C16CBD"/>
    <w:rsid w:val="00C17F84"/>
    <w:rsid w:val="00C21299"/>
    <w:rsid w:val="00C22052"/>
    <w:rsid w:val="00C2296B"/>
    <w:rsid w:val="00C23D3F"/>
    <w:rsid w:val="00C2479D"/>
    <w:rsid w:val="00C26BC2"/>
    <w:rsid w:val="00C27452"/>
    <w:rsid w:val="00C32A64"/>
    <w:rsid w:val="00C33784"/>
    <w:rsid w:val="00C339A7"/>
    <w:rsid w:val="00C371F5"/>
    <w:rsid w:val="00C3751E"/>
    <w:rsid w:val="00C43259"/>
    <w:rsid w:val="00C43260"/>
    <w:rsid w:val="00C44FAB"/>
    <w:rsid w:val="00C479A0"/>
    <w:rsid w:val="00C50798"/>
    <w:rsid w:val="00C51801"/>
    <w:rsid w:val="00C52ACF"/>
    <w:rsid w:val="00C550E1"/>
    <w:rsid w:val="00C554EF"/>
    <w:rsid w:val="00C5568D"/>
    <w:rsid w:val="00C55FF7"/>
    <w:rsid w:val="00C56A4A"/>
    <w:rsid w:val="00C61E56"/>
    <w:rsid w:val="00C62374"/>
    <w:rsid w:val="00C65BFC"/>
    <w:rsid w:val="00C65EFC"/>
    <w:rsid w:val="00C66EC5"/>
    <w:rsid w:val="00C74649"/>
    <w:rsid w:val="00C75AC7"/>
    <w:rsid w:val="00C7606E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2FF3"/>
    <w:rsid w:val="00C93E4F"/>
    <w:rsid w:val="00C94180"/>
    <w:rsid w:val="00CA224E"/>
    <w:rsid w:val="00CA23C9"/>
    <w:rsid w:val="00CA35F7"/>
    <w:rsid w:val="00CA7CE4"/>
    <w:rsid w:val="00CA7F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220D"/>
    <w:rsid w:val="00CD40FC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4F9F"/>
    <w:rsid w:val="00D0500F"/>
    <w:rsid w:val="00D055E4"/>
    <w:rsid w:val="00D11542"/>
    <w:rsid w:val="00D13C7E"/>
    <w:rsid w:val="00D1611D"/>
    <w:rsid w:val="00D172A6"/>
    <w:rsid w:val="00D2078B"/>
    <w:rsid w:val="00D21100"/>
    <w:rsid w:val="00D22C92"/>
    <w:rsid w:val="00D2636F"/>
    <w:rsid w:val="00D312BA"/>
    <w:rsid w:val="00D324D6"/>
    <w:rsid w:val="00D35676"/>
    <w:rsid w:val="00D41836"/>
    <w:rsid w:val="00D437AB"/>
    <w:rsid w:val="00D474D0"/>
    <w:rsid w:val="00D50000"/>
    <w:rsid w:val="00D50134"/>
    <w:rsid w:val="00D532F1"/>
    <w:rsid w:val="00D5768A"/>
    <w:rsid w:val="00D57693"/>
    <w:rsid w:val="00D60448"/>
    <w:rsid w:val="00D623E7"/>
    <w:rsid w:val="00D65AD1"/>
    <w:rsid w:val="00D65EAF"/>
    <w:rsid w:val="00D6633B"/>
    <w:rsid w:val="00D67264"/>
    <w:rsid w:val="00D72634"/>
    <w:rsid w:val="00D73610"/>
    <w:rsid w:val="00D75CB4"/>
    <w:rsid w:val="00D76AF4"/>
    <w:rsid w:val="00D76F76"/>
    <w:rsid w:val="00D7725D"/>
    <w:rsid w:val="00D77971"/>
    <w:rsid w:val="00D81B0F"/>
    <w:rsid w:val="00D81C10"/>
    <w:rsid w:val="00D8395D"/>
    <w:rsid w:val="00D845F6"/>
    <w:rsid w:val="00D873A9"/>
    <w:rsid w:val="00D87585"/>
    <w:rsid w:val="00D90EDD"/>
    <w:rsid w:val="00D91F74"/>
    <w:rsid w:val="00D922D7"/>
    <w:rsid w:val="00D94E96"/>
    <w:rsid w:val="00D973C4"/>
    <w:rsid w:val="00D977E2"/>
    <w:rsid w:val="00DA2E39"/>
    <w:rsid w:val="00DA49FC"/>
    <w:rsid w:val="00DA6EF7"/>
    <w:rsid w:val="00DB0518"/>
    <w:rsid w:val="00DB376B"/>
    <w:rsid w:val="00DB52DB"/>
    <w:rsid w:val="00DB5368"/>
    <w:rsid w:val="00DB5BE0"/>
    <w:rsid w:val="00DB5D1F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415C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11E77"/>
    <w:rsid w:val="00E12542"/>
    <w:rsid w:val="00E12C43"/>
    <w:rsid w:val="00E13F12"/>
    <w:rsid w:val="00E171FD"/>
    <w:rsid w:val="00E17C8D"/>
    <w:rsid w:val="00E228A4"/>
    <w:rsid w:val="00E23402"/>
    <w:rsid w:val="00E2633F"/>
    <w:rsid w:val="00E316B2"/>
    <w:rsid w:val="00E320C9"/>
    <w:rsid w:val="00E33A12"/>
    <w:rsid w:val="00E36486"/>
    <w:rsid w:val="00E36DFD"/>
    <w:rsid w:val="00E43830"/>
    <w:rsid w:val="00E46AB1"/>
    <w:rsid w:val="00E46D0A"/>
    <w:rsid w:val="00E46E28"/>
    <w:rsid w:val="00E5018F"/>
    <w:rsid w:val="00E55522"/>
    <w:rsid w:val="00E56AE5"/>
    <w:rsid w:val="00E62C89"/>
    <w:rsid w:val="00E64121"/>
    <w:rsid w:val="00E6447D"/>
    <w:rsid w:val="00E652EB"/>
    <w:rsid w:val="00E65480"/>
    <w:rsid w:val="00E66234"/>
    <w:rsid w:val="00E67430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2DC"/>
    <w:rsid w:val="00E958D1"/>
    <w:rsid w:val="00E95C93"/>
    <w:rsid w:val="00E97224"/>
    <w:rsid w:val="00E97704"/>
    <w:rsid w:val="00EA0816"/>
    <w:rsid w:val="00EA09FC"/>
    <w:rsid w:val="00EA0FDB"/>
    <w:rsid w:val="00EA1E3A"/>
    <w:rsid w:val="00EA3446"/>
    <w:rsid w:val="00EA4A45"/>
    <w:rsid w:val="00EA5B0C"/>
    <w:rsid w:val="00EA64D6"/>
    <w:rsid w:val="00EA6D1A"/>
    <w:rsid w:val="00EB0D58"/>
    <w:rsid w:val="00EB17B5"/>
    <w:rsid w:val="00EB21F2"/>
    <w:rsid w:val="00EB2A82"/>
    <w:rsid w:val="00EB40EE"/>
    <w:rsid w:val="00EB76B6"/>
    <w:rsid w:val="00EC0688"/>
    <w:rsid w:val="00EC2190"/>
    <w:rsid w:val="00EC33A6"/>
    <w:rsid w:val="00EC48C6"/>
    <w:rsid w:val="00EC4C01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EF6B6A"/>
    <w:rsid w:val="00F00E29"/>
    <w:rsid w:val="00F01570"/>
    <w:rsid w:val="00F017D9"/>
    <w:rsid w:val="00F01A6F"/>
    <w:rsid w:val="00F0227C"/>
    <w:rsid w:val="00F024DD"/>
    <w:rsid w:val="00F0391A"/>
    <w:rsid w:val="00F05760"/>
    <w:rsid w:val="00F06B91"/>
    <w:rsid w:val="00F102D8"/>
    <w:rsid w:val="00F13329"/>
    <w:rsid w:val="00F14951"/>
    <w:rsid w:val="00F214BB"/>
    <w:rsid w:val="00F22521"/>
    <w:rsid w:val="00F23434"/>
    <w:rsid w:val="00F23450"/>
    <w:rsid w:val="00F30996"/>
    <w:rsid w:val="00F31F8B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55AD6"/>
    <w:rsid w:val="00F56FCF"/>
    <w:rsid w:val="00F60278"/>
    <w:rsid w:val="00F609D5"/>
    <w:rsid w:val="00F60C69"/>
    <w:rsid w:val="00F6543E"/>
    <w:rsid w:val="00F67899"/>
    <w:rsid w:val="00F70A3E"/>
    <w:rsid w:val="00F72073"/>
    <w:rsid w:val="00F7289C"/>
    <w:rsid w:val="00F73E49"/>
    <w:rsid w:val="00F75A0C"/>
    <w:rsid w:val="00F8497B"/>
    <w:rsid w:val="00F9228D"/>
    <w:rsid w:val="00F92ABB"/>
    <w:rsid w:val="00F94F9C"/>
    <w:rsid w:val="00F96BA6"/>
    <w:rsid w:val="00F97BB0"/>
    <w:rsid w:val="00FA0A4F"/>
    <w:rsid w:val="00FA352B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201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1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Default">
    <w:name w:val="Default"/>
    <w:rsid w:val="004918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9</cp:revision>
  <cp:lastPrinted>2016-08-01T06:52:00Z</cp:lastPrinted>
  <dcterms:created xsi:type="dcterms:W3CDTF">2020-05-23T20:49:00Z</dcterms:created>
  <dcterms:modified xsi:type="dcterms:W3CDTF">2020-05-23T21:20:00Z</dcterms:modified>
</cp:coreProperties>
</file>