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C8F59" w14:textId="77777777" w:rsidR="00BF317D" w:rsidRPr="001C79FC" w:rsidRDefault="00BF317D" w:rsidP="00BF317D">
      <w:pPr>
        <w:pStyle w:val="a8"/>
        <w:ind w:left="-284"/>
        <w:outlineLvl w:val="0"/>
        <w:rPr>
          <w:sz w:val="25"/>
          <w:szCs w:val="25"/>
        </w:rPr>
      </w:pPr>
      <w:r w:rsidRPr="001C79FC">
        <w:rPr>
          <w:sz w:val="25"/>
          <w:szCs w:val="25"/>
        </w:rPr>
        <w:t xml:space="preserve">Договор о задатке № </w:t>
      </w:r>
      <w:r w:rsidRPr="001C79FC">
        <w:rPr>
          <w:sz w:val="25"/>
          <w:szCs w:val="25"/>
          <w:u w:val="single"/>
        </w:rPr>
        <w:t>б/н</w:t>
      </w:r>
    </w:p>
    <w:p w14:paraId="44B41C5A" w14:textId="77777777" w:rsidR="00BF317D" w:rsidRPr="001C79FC" w:rsidRDefault="00BF317D" w:rsidP="00BF317D">
      <w:pPr>
        <w:pStyle w:val="a8"/>
        <w:ind w:left="-284" w:firstLine="284"/>
        <w:jc w:val="left"/>
        <w:rPr>
          <w:b w:val="0"/>
          <w:bCs w:val="0"/>
          <w:sz w:val="25"/>
          <w:szCs w:val="25"/>
        </w:rPr>
      </w:pPr>
    </w:p>
    <w:p w14:paraId="4CB08C6D" w14:textId="4D5985DE" w:rsidR="00BF317D" w:rsidRPr="001C79FC" w:rsidRDefault="00BF317D" w:rsidP="00BF317D">
      <w:pPr>
        <w:pStyle w:val="a8"/>
        <w:tabs>
          <w:tab w:val="left" w:pos="6804"/>
        </w:tabs>
        <w:ind w:left="-284" w:firstLine="284"/>
        <w:jc w:val="left"/>
        <w:rPr>
          <w:b w:val="0"/>
          <w:bCs w:val="0"/>
          <w:sz w:val="25"/>
          <w:szCs w:val="25"/>
        </w:rPr>
      </w:pPr>
      <w:r w:rsidRPr="001C79FC">
        <w:rPr>
          <w:b w:val="0"/>
          <w:bCs w:val="0"/>
          <w:sz w:val="25"/>
          <w:szCs w:val="25"/>
        </w:rPr>
        <w:t xml:space="preserve">г. </w:t>
      </w:r>
      <w:r w:rsidR="00672951">
        <w:rPr>
          <w:b w:val="0"/>
          <w:bCs w:val="0"/>
          <w:sz w:val="25"/>
          <w:szCs w:val="25"/>
        </w:rPr>
        <w:t>Москва</w:t>
      </w:r>
      <w:r w:rsidRPr="001C79FC">
        <w:rPr>
          <w:b w:val="0"/>
          <w:bCs w:val="0"/>
          <w:sz w:val="25"/>
          <w:szCs w:val="25"/>
        </w:rPr>
        <w:tab/>
        <w:t>«__</w:t>
      </w:r>
      <w:proofErr w:type="gramStart"/>
      <w:r w:rsidRPr="001C79FC">
        <w:rPr>
          <w:b w:val="0"/>
          <w:bCs w:val="0"/>
          <w:sz w:val="25"/>
          <w:szCs w:val="25"/>
        </w:rPr>
        <w:t>_»_</w:t>
      </w:r>
      <w:proofErr w:type="gramEnd"/>
      <w:r w:rsidRPr="001C79FC">
        <w:rPr>
          <w:b w:val="0"/>
          <w:bCs w:val="0"/>
          <w:sz w:val="25"/>
          <w:szCs w:val="25"/>
        </w:rPr>
        <w:t>________20</w:t>
      </w:r>
      <w:r w:rsidR="001514F0">
        <w:rPr>
          <w:b w:val="0"/>
          <w:bCs w:val="0"/>
          <w:sz w:val="25"/>
          <w:szCs w:val="25"/>
        </w:rPr>
        <w:t>20</w:t>
      </w:r>
      <w:r w:rsidRPr="001C79FC">
        <w:rPr>
          <w:b w:val="0"/>
          <w:bCs w:val="0"/>
          <w:sz w:val="25"/>
          <w:szCs w:val="25"/>
        </w:rPr>
        <w:t xml:space="preserve"> г.</w:t>
      </w:r>
    </w:p>
    <w:p w14:paraId="2C08025F" w14:textId="77777777" w:rsidR="00BF317D" w:rsidRPr="001C79FC" w:rsidRDefault="00BF317D" w:rsidP="00BF317D">
      <w:pPr>
        <w:pStyle w:val="a8"/>
        <w:ind w:left="-284" w:firstLine="284"/>
        <w:jc w:val="both"/>
        <w:rPr>
          <w:b w:val="0"/>
          <w:bCs w:val="0"/>
          <w:sz w:val="25"/>
          <w:szCs w:val="25"/>
        </w:rPr>
      </w:pPr>
    </w:p>
    <w:p w14:paraId="4A4FC902" w14:textId="436E78FA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         </w:t>
      </w:r>
      <w:r w:rsidRPr="001C79FC">
        <w:rPr>
          <w:sz w:val="25"/>
          <w:szCs w:val="25"/>
          <w:lang w:val="ru-RU"/>
        </w:rPr>
        <w:t xml:space="preserve">ООО «Грант </w:t>
      </w:r>
      <w:proofErr w:type="spellStart"/>
      <w:r w:rsidRPr="001C79FC">
        <w:rPr>
          <w:sz w:val="25"/>
          <w:szCs w:val="25"/>
          <w:lang w:val="ru-RU"/>
        </w:rPr>
        <w:t>Консалт</w:t>
      </w:r>
      <w:proofErr w:type="spellEnd"/>
      <w:r w:rsidRPr="001C79FC">
        <w:rPr>
          <w:sz w:val="25"/>
          <w:szCs w:val="25"/>
          <w:lang w:val="ru-RU"/>
        </w:rPr>
        <w:t xml:space="preserve">», привлеченное конкурсным управляющим </w:t>
      </w:r>
      <w:r w:rsidR="001514F0" w:rsidRPr="001514F0">
        <w:rPr>
          <w:b/>
          <w:bCs/>
          <w:sz w:val="25"/>
          <w:szCs w:val="25"/>
          <w:lang w:val="ru-RU"/>
        </w:rPr>
        <w:t>ООО «СК ЛИДЕР»</w:t>
      </w:r>
      <w:r w:rsidR="001514F0" w:rsidRPr="001514F0">
        <w:rPr>
          <w:sz w:val="25"/>
          <w:szCs w:val="25"/>
          <w:lang w:val="ru-RU"/>
        </w:rPr>
        <w:t xml:space="preserve">  (ИНН 7730699306 , ОГРН 5137746246765 , адрес: 121087, г. Москва, проезд Промышленный, д. 7, стр. 4, пом. VI, ком. 1, конкурсное производство открыто решением Арбитражного суда г. Москвы от 11.09.2018 г. по делу А40-101509/2018)</w:t>
      </w:r>
      <w:r w:rsidRPr="001C79FC">
        <w:rPr>
          <w:sz w:val="25"/>
          <w:szCs w:val="25"/>
          <w:lang w:val="ru-RU"/>
        </w:rPr>
        <w:t xml:space="preserve"> </w:t>
      </w:r>
      <w:proofErr w:type="spellStart"/>
      <w:r w:rsidRPr="001C79FC">
        <w:rPr>
          <w:sz w:val="25"/>
          <w:szCs w:val="25"/>
          <w:lang w:val="ru-RU"/>
        </w:rPr>
        <w:t>Дюдневым</w:t>
      </w:r>
      <w:proofErr w:type="spellEnd"/>
      <w:r w:rsidRPr="001C79FC">
        <w:rPr>
          <w:sz w:val="25"/>
          <w:szCs w:val="25"/>
          <w:lang w:val="ru-RU"/>
        </w:rPr>
        <w:t xml:space="preserve"> Артемом Вячеславовичем, именуемое в дальнейшем «Организатор торгов», в лице генерального директора </w:t>
      </w:r>
      <w:r w:rsidR="001335A1">
        <w:rPr>
          <w:sz w:val="25"/>
          <w:szCs w:val="25"/>
          <w:lang w:val="ru-RU"/>
        </w:rPr>
        <w:t>Тяжлова Д</w:t>
      </w:r>
      <w:r w:rsidR="00775744">
        <w:rPr>
          <w:sz w:val="25"/>
          <w:szCs w:val="25"/>
          <w:lang w:val="ru-RU"/>
        </w:rPr>
        <w:t>.</w:t>
      </w:r>
      <w:r w:rsidR="001335A1">
        <w:rPr>
          <w:sz w:val="25"/>
          <w:szCs w:val="25"/>
          <w:lang w:val="ru-RU"/>
        </w:rPr>
        <w:t>В.</w:t>
      </w:r>
      <w:r w:rsidRPr="001C79FC">
        <w:rPr>
          <w:sz w:val="25"/>
          <w:szCs w:val="25"/>
          <w:lang w:val="ru-RU"/>
        </w:rPr>
        <w:t>, действующего на основании устава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- с одной стороны, и </w:t>
      </w:r>
    </w:p>
    <w:p w14:paraId="71DF2B0A" w14:textId="5AAA06E5" w:rsidR="00BF317D" w:rsidRPr="001C79FC" w:rsidRDefault="00BF317D" w:rsidP="00BF317D">
      <w:pPr>
        <w:ind w:right="27" w:firstLine="1134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претендент на участие в </w:t>
      </w:r>
      <w:r w:rsidR="001514F0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по продаже имущества </w:t>
      </w:r>
      <w:r w:rsidR="001514F0" w:rsidRPr="001514F0">
        <w:rPr>
          <w:rFonts w:asciiTheme="majorHAnsi" w:hAnsiTheme="majorHAnsi"/>
          <w:b/>
          <w:sz w:val="25"/>
          <w:szCs w:val="25"/>
          <w:lang w:val="ru-RU"/>
        </w:rPr>
        <w:t>ООО «СК ЛИДЕР»</w:t>
      </w:r>
      <w:r w:rsidR="001514F0" w:rsidRPr="001514F0">
        <w:rPr>
          <w:rFonts w:asciiTheme="majorHAnsi" w:hAnsiTheme="majorHAnsi"/>
          <w:bCs/>
          <w:sz w:val="25"/>
          <w:szCs w:val="25"/>
          <w:lang w:val="ru-RU"/>
        </w:rPr>
        <w:t xml:space="preserve"> </w:t>
      </w:r>
      <w:r w:rsidRPr="001514F0">
        <w:rPr>
          <w:rFonts w:asciiTheme="majorHAnsi" w:hAnsiTheme="majorHAnsi"/>
          <w:bCs/>
          <w:sz w:val="25"/>
          <w:szCs w:val="25"/>
          <w:lang w:val="ru-RU"/>
        </w:rPr>
        <w:t>-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 </w:t>
      </w:r>
      <w:r w:rsidRPr="001514F0">
        <w:rPr>
          <w:rFonts w:asciiTheme="majorHAnsi" w:hAnsiTheme="majorHAnsi"/>
          <w:b/>
          <w:sz w:val="25"/>
          <w:szCs w:val="25"/>
          <w:lang w:val="ru-RU"/>
        </w:rPr>
        <w:t>__________________________________________________</w:t>
      </w:r>
      <w:r w:rsidRPr="001C79FC">
        <w:rPr>
          <w:rFonts w:asciiTheme="majorHAnsi" w:hAnsiTheme="majorHAnsi"/>
          <w:sz w:val="25"/>
          <w:szCs w:val="25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9830C41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5379E990" w14:textId="77777777" w:rsidR="00BF317D" w:rsidRPr="001C79FC" w:rsidRDefault="00BF317D" w:rsidP="00BF317D">
      <w:pPr>
        <w:pStyle w:val="a8"/>
        <w:ind w:firstLine="567"/>
        <w:outlineLvl w:val="0"/>
        <w:rPr>
          <w:sz w:val="25"/>
          <w:szCs w:val="25"/>
        </w:rPr>
      </w:pPr>
      <w:r w:rsidRPr="001C79FC">
        <w:rPr>
          <w:sz w:val="25"/>
          <w:szCs w:val="25"/>
          <w:lang w:val="en-US"/>
        </w:rPr>
        <w:t>I</w:t>
      </w:r>
      <w:r w:rsidRPr="001C79FC">
        <w:rPr>
          <w:sz w:val="25"/>
          <w:szCs w:val="25"/>
        </w:rPr>
        <w:t>. Предмет договора</w:t>
      </w:r>
    </w:p>
    <w:p w14:paraId="07020BE3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748EBD62" w14:textId="5ECA6404" w:rsidR="00BF317D" w:rsidRPr="001C79FC" w:rsidRDefault="00BF317D" w:rsidP="00896AB7">
      <w:pPr>
        <w:pStyle w:val="a3"/>
        <w:keepNext/>
        <w:rPr>
          <w:rFonts w:asciiTheme="majorHAnsi" w:hAnsiTheme="majorHAnsi"/>
          <w:b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1.1. В соответствии с условиями настоящего Договора Претендент для участия в торгах по </w:t>
      </w:r>
      <w:r w:rsidR="00896AB7">
        <w:rPr>
          <w:rFonts w:asciiTheme="majorHAnsi" w:hAnsiTheme="majorHAnsi"/>
          <w:sz w:val="25"/>
          <w:szCs w:val="25"/>
          <w:lang w:val="ru-RU"/>
        </w:rPr>
        <w:t xml:space="preserve">продаже </w:t>
      </w:r>
      <w:r w:rsidRPr="001C79FC">
        <w:rPr>
          <w:rStyle w:val="FontStyle16"/>
          <w:rFonts w:asciiTheme="majorHAnsi" w:hAnsiTheme="majorHAnsi"/>
          <w:sz w:val="25"/>
          <w:szCs w:val="25"/>
          <w:lang w:val="ru-RU"/>
        </w:rPr>
        <w:t>имущества должника (</w:t>
      </w:r>
      <w:r w:rsidR="00896AB7" w:rsidRPr="00896AB7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Лот №1. Право требования к ООО «СП» (ИНН 7842137841) в размере 110120204,30 руб. Начальная цена </w:t>
      </w:r>
      <w:r w:rsidR="00681B01" w:rsidRPr="00681B01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4 969</w:t>
      </w:r>
      <w:r w:rsidR="00681B01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 </w:t>
      </w:r>
      <w:r w:rsidR="00681B01" w:rsidRPr="00681B01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 xml:space="preserve">440 </w:t>
      </w:r>
      <w:r w:rsidR="00896AB7" w:rsidRPr="00896AB7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руб.</w:t>
      </w:r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),</w:t>
      </w:r>
      <w:r w:rsidRPr="001C79FC">
        <w:rPr>
          <w:rFonts w:asciiTheme="majorHAnsi" w:hAnsiTheme="majorHAnsi"/>
          <w:b/>
          <w:sz w:val="25"/>
          <w:szCs w:val="25"/>
          <w:shd w:val="clear" w:color="auto" w:fill="FFFFFF"/>
          <w:lang w:val="ru-RU"/>
        </w:rPr>
        <w:t xml:space="preserve"> 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проводимых </w:t>
      </w:r>
      <w:r w:rsidR="00446575">
        <w:rPr>
          <w:rFonts w:asciiTheme="majorHAnsi" w:hAnsiTheme="majorHAnsi"/>
          <w:sz w:val="25"/>
          <w:szCs w:val="25"/>
          <w:lang w:val="ru-RU"/>
        </w:rPr>
        <w:t>с 01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  <w:r w:rsidR="001514F0">
        <w:rPr>
          <w:rFonts w:asciiTheme="majorHAnsi" w:hAnsiTheme="majorHAnsi"/>
          <w:sz w:val="25"/>
          <w:szCs w:val="25"/>
          <w:lang w:val="ru-RU"/>
        </w:rPr>
        <w:t>0</w:t>
      </w:r>
      <w:r w:rsidR="00446575">
        <w:rPr>
          <w:rFonts w:asciiTheme="majorHAnsi" w:hAnsiTheme="majorHAnsi"/>
          <w:sz w:val="25"/>
          <w:szCs w:val="25"/>
          <w:lang w:val="ru-RU"/>
        </w:rPr>
        <w:t>7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.2020, перечисляет денежные средства в размере </w:t>
      </w:r>
      <w:r w:rsidRPr="001C79FC">
        <w:rPr>
          <w:rFonts w:asciiTheme="majorHAnsi" w:hAnsiTheme="majorHAnsi"/>
          <w:b/>
          <w:color w:val="000000"/>
          <w:sz w:val="25"/>
          <w:szCs w:val="25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1C79FC">
        <w:rPr>
          <w:rFonts w:asciiTheme="majorHAnsi" w:hAnsiTheme="majorHAnsi"/>
          <w:sz w:val="25"/>
          <w:szCs w:val="25"/>
          <w:lang w:val="ru-RU"/>
        </w:rPr>
        <w:t>, (далее – «Задаток») на банковский счет организатора торгов:</w:t>
      </w:r>
      <w:r w:rsidRPr="001C79FC">
        <w:rPr>
          <w:sz w:val="25"/>
          <w:szCs w:val="25"/>
          <w:lang w:val="ru-RU"/>
        </w:rPr>
        <w:t>‬</w:t>
      </w:r>
      <w:r w:rsidRPr="001C79FC">
        <w:rPr>
          <w:sz w:val="25"/>
          <w:szCs w:val="25"/>
          <w:lang w:val="ru-RU"/>
        </w:rPr>
        <w:t>‬</w:t>
      </w:r>
    </w:p>
    <w:p w14:paraId="2304421A" w14:textId="76F7B332" w:rsidR="00BF317D" w:rsidRPr="001C79FC" w:rsidRDefault="00446575" w:rsidP="00BF31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5"/>
          <w:szCs w:val="25"/>
        </w:rPr>
      </w:pPr>
      <w:r w:rsidRPr="00446575">
        <w:rPr>
          <w:rFonts w:asciiTheme="majorHAnsi" w:hAnsiTheme="majorHAnsi" w:cs="Times New Roman"/>
          <w:color w:val="000000"/>
          <w:sz w:val="25"/>
          <w:szCs w:val="25"/>
        </w:rPr>
        <w:t xml:space="preserve">получатель - ООО «Грант </w:t>
      </w:r>
      <w:proofErr w:type="spellStart"/>
      <w:r w:rsidRPr="00446575">
        <w:rPr>
          <w:rFonts w:asciiTheme="majorHAnsi" w:hAnsiTheme="majorHAnsi" w:cs="Times New Roman"/>
          <w:color w:val="000000"/>
          <w:sz w:val="25"/>
          <w:szCs w:val="25"/>
        </w:rPr>
        <w:t>Консалт</w:t>
      </w:r>
      <w:proofErr w:type="spellEnd"/>
      <w:r w:rsidRPr="00446575">
        <w:rPr>
          <w:rFonts w:asciiTheme="majorHAnsi" w:hAnsiTheme="majorHAnsi" w:cs="Times New Roman"/>
          <w:color w:val="000000"/>
          <w:sz w:val="25"/>
          <w:szCs w:val="25"/>
        </w:rPr>
        <w:t xml:space="preserve">», ИНН </w:t>
      </w:r>
      <w:proofErr w:type="gramStart"/>
      <w:r w:rsidRPr="00446575">
        <w:rPr>
          <w:rFonts w:asciiTheme="majorHAnsi" w:hAnsiTheme="majorHAnsi" w:cs="Times New Roman"/>
          <w:color w:val="000000"/>
          <w:sz w:val="25"/>
          <w:szCs w:val="25"/>
        </w:rPr>
        <w:t>7811548827 ,</w:t>
      </w:r>
      <w:proofErr w:type="gramEnd"/>
      <w:r w:rsidRPr="00446575">
        <w:rPr>
          <w:rFonts w:asciiTheme="majorHAnsi" w:hAnsiTheme="majorHAnsi" w:cs="Times New Roman"/>
          <w:color w:val="000000"/>
          <w:sz w:val="25"/>
          <w:szCs w:val="25"/>
        </w:rPr>
        <w:t xml:space="preserve"> ОГРН 1137847150737 , КПП 781101001, р/с №40702810832130002974 в Филиале «Санкт-Петербургский» АО «Альфа-Банк», г. Санкт-Петербург, к/с 30101810600000000786, БИК 044030786. Назначение платежа: «Задаток за участие в торгах по продаже имущества ООО «СК ЛИДЕР», лот №1».</w:t>
      </w:r>
    </w:p>
    <w:p w14:paraId="7568AFB1" w14:textId="6CFD42BD" w:rsidR="00BF317D" w:rsidRDefault="00BF317D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</w:t>
      </w:r>
      <w:r w:rsidR="001514F0">
        <w:rPr>
          <w:rFonts w:asciiTheme="majorHAnsi" w:hAnsiTheme="majorHAnsi"/>
          <w:sz w:val="25"/>
          <w:szCs w:val="25"/>
        </w:rPr>
        <w:t>торгов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45B5745B" w14:textId="77777777" w:rsidR="001514F0" w:rsidRPr="001C79FC" w:rsidRDefault="001514F0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</w:p>
    <w:p w14:paraId="4C2907BF" w14:textId="77777777" w:rsidR="00BF317D" w:rsidRPr="001C79FC" w:rsidRDefault="00BF317D" w:rsidP="00BF317D">
      <w:pPr>
        <w:pStyle w:val="a8"/>
        <w:ind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II</w:t>
      </w:r>
      <w:r w:rsidRPr="001C79FC">
        <w:rPr>
          <w:rFonts w:asciiTheme="majorHAnsi" w:hAnsiTheme="majorHAnsi"/>
          <w:sz w:val="25"/>
          <w:szCs w:val="25"/>
        </w:rPr>
        <w:t>. Порядок внесения задатка</w:t>
      </w:r>
    </w:p>
    <w:p w14:paraId="5D1AFA55" w14:textId="77777777" w:rsidR="00BF317D" w:rsidRPr="001C79FC" w:rsidRDefault="00BF317D" w:rsidP="00BF317D">
      <w:pPr>
        <w:pStyle w:val="a8"/>
        <w:ind w:firstLine="567"/>
        <w:rPr>
          <w:rFonts w:asciiTheme="majorHAnsi" w:hAnsiTheme="majorHAnsi"/>
          <w:sz w:val="25"/>
          <w:szCs w:val="25"/>
        </w:rPr>
      </w:pPr>
    </w:p>
    <w:p w14:paraId="6F0287D0" w14:textId="38130CDE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2.1. Задаток подлежит перечислению Претендентом на банковский счет </w:t>
      </w:r>
      <w:r w:rsidR="001C79FC">
        <w:rPr>
          <w:rFonts w:asciiTheme="majorHAnsi" w:hAnsiTheme="majorHAnsi"/>
          <w:sz w:val="25"/>
          <w:szCs w:val="25"/>
          <w:lang w:val="ru-RU"/>
        </w:rPr>
        <w:t>Организатора 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перечисляется непосредственно Претендентом (лицом, которое подаёт заявку). </w:t>
      </w:r>
    </w:p>
    <w:p w14:paraId="4F2116D8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76460B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2B69EB37" w14:textId="46A01DC6" w:rsidR="00BF317D" w:rsidRPr="001C79FC" w:rsidRDefault="00BF317D" w:rsidP="00BF317D">
      <w:pPr>
        <w:pStyle w:val="32"/>
        <w:ind w:left="0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2.2. Задаток должен поступить на расчетный счет, указанный в п.1.1 настоящего Договора, не позднее даты окончания приема заявок.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t xml:space="preserve">Задаток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lastRenderedPageBreak/>
        <w:t>считается внесенным с даты поступления всей суммы Задатка на банковский счет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197160F1" w14:textId="215DB9DB" w:rsidR="00BF317D" w:rsidRPr="001C79FC" w:rsidRDefault="00BF317D" w:rsidP="00BF317D">
      <w:pPr>
        <w:pStyle w:val="21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1C79FC">
        <w:rPr>
          <w:rFonts w:asciiTheme="majorHAnsi" w:hAnsiTheme="majorHAnsi"/>
          <w:sz w:val="25"/>
          <w:szCs w:val="25"/>
          <w:u w:val="single"/>
        </w:rPr>
        <w:t xml:space="preserve">Претендент не допускается к участию в </w:t>
      </w:r>
      <w:r w:rsidR="001514F0">
        <w:rPr>
          <w:rFonts w:asciiTheme="majorHAnsi" w:hAnsiTheme="majorHAnsi"/>
          <w:sz w:val="25"/>
          <w:szCs w:val="25"/>
          <w:u w:val="single"/>
        </w:rPr>
        <w:t>торгах</w:t>
      </w:r>
      <w:r w:rsidRPr="001C79FC">
        <w:rPr>
          <w:rFonts w:asciiTheme="majorHAnsi" w:hAnsiTheme="majorHAnsi"/>
          <w:sz w:val="25"/>
          <w:szCs w:val="25"/>
          <w:u w:val="single"/>
        </w:rPr>
        <w:t>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2DA0CDBA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14:paraId="3F716567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7E43227E" w14:textId="77777777" w:rsidR="00BF317D" w:rsidRPr="001C79FC" w:rsidRDefault="00BF317D" w:rsidP="00BF317D">
      <w:pPr>
        <w:ind w:firstLine="567"/>
        <w:jc w:val="center"/>
        <w:outlineLvl w:val="0"/>
        <w:rPr>
          <w:rFonts w:asciiTheme="majorHAnsi" w:hAnsiTheme="majorHAnsi"/>
          <w:b/>
          <w:bCs/>
          <w:sz w:val="25"/>
          <w:szCs w:val="25"/>
          <w:lang w:val="ru-RU"/>
        </w:rPr>
      </w:pPr>
      <w:r w:rsidRPr="001C79FC">
        <w:rPr>
          <w:rFonts w:asciiTheme="majorHAnsi" w:hAnsiTheme="majorHAnsi"/>
          <w:b/>
          <w:bCs/>
          <w:sz w:val="25"/>
          <w:szCs w:val="25"/>
        </w:rPr>
        <w:t>III</w:t>
      </w:r>
      <w:r w:rsidRPr="001C79FC">
        <w:rPr>
          <w:rFonts w:asciiTheme="majorHAnsi" w:hAnsiTheme="majorHAnsi"/>
          <w:b/>
          <w:bCs/>
          <w:sz w:val="25"/>
          <w:szCs w:val="25"/>
          <w:lang w:val="ru-RU"/>
        </w:rPr>
        <w:t>. Порядок возврата и удержания задатка</w:t>
      </w:r>
    </w:p>
    <w:p w14:paraId="708F2665" w14:textId="77777777" w:rsidR="00BF317D" w:rsidRPr="001C79FC" w:rsidRDefault="00BF317D" w:rsidP="00BF317D">
      <w:pPr>
        <w:ind w:firstLine="567"/>
        <w:jc w:val="center"/>
        <w:rPr>
          <w:rFonts w:asciiTheme="majorHAnsi" w:hAnsiTheme="majorHAnsi"/>
          <w:b/>
          <w:bCs/>
          <w:sz w:val="25"/>
          <w:szCs w:val="25"/>
          <w:lang w:val="ru-RU"/>
        </w:rPr>
      </w:pPr>
    </w:p>
    <w:p w14:paraId="3EC0DCD0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07E3F59A" w14:textId="5578694B" w:rsidR="00BF317D" w:rsidRPr="001C79FC" w:rsidRDefault="00BF317D" w:rsidP="001514F0">
      <w:pPr>
        <w:pStyle w:val="30"/>
        <w:tabs>
          <w:tab w:val="left" w:pos="9781"/>
        </w:tabs>
        <w:spacing w:after="0"/>
        <w:ind w:right="27" w:firstLine="567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4F51C6D9" w14:textId="2620C853" w:rsidR="00BF317D" w:rsidRPr="001C79FC" w:rsidRDefault="00BF317D" w:rsidP="00BF317D">
      <w:pPr>
        <w:adjustRightInd w:val="0"/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3.3. В случае, если Претендент участвовал в </w:t>
      </w:r>
      <w:r w:rsidR="001514F0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0F464BA0" w14:textId="5A9DC83F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3.4. В случае отзыва Претендентом заявки на участие в </w:t>
      </w:r>
      <w:r w:rsidR="001514F0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6CFF5F8" w14:textId="78168DA8" w:rsidR="00BF317D" w:rsidRPr="001C79FC" w:rsidRDefault="00BF317D" w:rsidP="001514F0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3.5. В случае признания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несостоявшимся.</w:t>
      </w:r>
    </w:p>
    <w:p w14:paraId="431BF174" w14:textId="5B5AD1E0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3.6. В случае отмены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220AB81F" w14:textId="63124F9F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</w:t>
      </w:r>
      <w:r w:rsidR="001514F0">
        <w:rPr>
          <w:rFonts w:asciiTheme="majorHAnsi" w:hAnsiTheme="majorHAnsi"/>
          <w:sz w:val="25"/>
          <w:szCs w:val="25"/>
          <w:lang w:val="ru-RU"/>
        </w:rPr>
        <w:t>Банком.</w:t>
      </w:r>
    </w:p>
    <w:p w14:paraId="104653F5" w14:textId="363914F2" w:rsidR="00BF317D" w:rsidRPr="001C79FC" w:rsidRDefault="00BF317D" w:rsidP="001514F0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1514F0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750F978C" w14:textId="26D4D45F" w:rsidR="00BF317D" w:rsidRPr="001C79FC" w:rsidRDefault="00BF317D" w:rsidP="00BF317D">
      <w:pPr>
        <w:pStyle w:val="aa"/>
        <w:tabs>
          <w:tab w:val="left" w:pos="9781"/>
        </w:tabs>
        <w:ind w:left="0" w:right="27" w:firstLine="567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lastRenderedPageBreak/>
        <w:t xml:space="preserve">3.8. В случае признания Претендента победителем </w:t>
      </w:r>
      <w:r w:rsidR="001514F0">
        <w:rPr>
          <w:rFonts w:asciiTheme="majorHAnsi" w:hAnsiTheme="majorHAnsi"/>
          <w:sz w:val="25"/>
          <w:szCs w:val="25"/>
        </w:rPr>
        <w:t>торгов</w:t>
      </w:r>
      <w:r w:rsidRPr="001C79FC">
        <w:rPr>
          <w:rFonts w:asciiTheme="majorHAnsi" w:hAnsiTheme="majorHAnsi"/>
          <w:sz w:val="25"/>
          <w:szCs w:val="25"/>
        </w:rPr>
        <w:t xml:space="preserve"> сумма внесенного Задатка засчитывается в счет оплаты по договору, заключенному по итогам торгов.</w:t>
      </w:r>
    </w:p>
    <w:p w14:paraId="7235C2E1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138216AB" w14:textId="77777777" w:rsidR="00BF317D" w:rsidRPr="001C79FC" w:rsidRDefault="00BF317D" w:rsidP="00BF317D">
      <w:pPr>
        <w:pStyle w:val="a8"/>
        <w:ind w:right="565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IV</w:t>
      </w:r>
      <w:r w:rsidRPr="001C79FC">
        <w:rPr>
          <w:rFonts w:asciiTheme="majorHAnsi" w:hAnsiTheme="majorHAnsi"/>
          <w:sz w:val="25"/>
          <w:szCs w:val="25"/>
        </w:rPr>
        <w:t xml:space="preserve">. Заключительные положения  </w:t>
      </w:r>
    </w:p>
    <w:p w14:paraId="00AC6B60" w14:textId="77777777" w:rsidR="00BF317D" w:rsidRPr="001C79FC" w:rsidRDefault="00BF317D" w:rsidP="00BF317D">
      <w:pPr>
        <w:pStyle w:val="a8"/>
        <w:ind w:right="565" w:firstLine="567"/>
        <w:rPr>
          <w:rFonts w:asciiTheme="majorHAnsi" w:hAnsiTheme="majorHAnsi"/>
          <w:sz w:val="25"/>
          <w:szCs w:val="25"/>
        </w:rPr>
      </w:pPr>
    </w:p>
    <w:p w14:paraId="719FFFC3" w14:textId="77777777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223DD65" w14:textId="4C06913E" w:rsidR="00BF317D" w:rsidRDefault="00BF317D" w:rsidP="00BF317D">
      <w:pPr>
        <w:pStyle w:val="30"/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2FED077" w14:textId="5980DF7D" w:rsidR="00A406F5" w:rsidRPr="00A406F5" w:rsidRDefault="00A406F5" w:rsidP="00A406F5">
      <w:pPr>
        <w:pStyle w:val="30"/>
        <w:spacing w:after="0"/>
        <w:ind w:right="27" w:firstLine="720"/>
        <w:jc w:val="both"/>
        <w:rPr>
          <w:rFonts w:asciiTheme="majorHAnsi" w:hAnsiTheme="majorHAnsi"/>
          <w:sz w:val="25"/>
          <w:szCs w:val="25"/>
          <w:lang w:val="ru-RU"/>
        </w:rPr>
      </w:pPr>
      <w:r w:rsidRPr="00A406F5">
        <w:rPr>
          <w:rFonts w:asciiTheme="majorHAnsi" w:hAnsiTheme="majorHAnsi"/>
          <w:sz w:val="25"/>
          <w:szCs w:val="25"/>
          <w:lang w:val="ru-RU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14:paraId="54F12CF4" w14:textId="77777777" w:rsidR="00BF317D" w:rsidRPr="001C79FC" w:rsidRDefault="00BF317D" w:rsidP="00BF317D">
      <w:pPr>
        <w:pStyle w:val="a6"/>
        <w:ind w:left="0"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3566E7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p w14:paraId="65D9E084" w14:textId="77777777" w:rsidR="00BF317D" w:rsidRPr="001C79FC" w:rsidRDefault="00BF317D" w:rsidP="00BF317D">
      <w:pPr>
        <w:pStyle w:val="a8"/>
        <w:ind w:right="27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V</w:t>
      </w:r>
      <w:r w:rsidRPr="001C79FC">
        <w:rPr>
          <w:rFonts w:asciiTheme="majorHAnsi" w:hAnsiTheme="majorHAnsi"/>
          <w:sz w:val="25"/>
          <w:szCs w:val="25"/>
        </w:rPr>
        <w:t>. Реквизиты и подписи сторон:</w:t>
      </w:r>
    </w:p>
    <w:p w14:paraId="728714B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BF317D" w:rsidRPr="001C79FC" w14:paraId="750C99F1" w14:textId="77777777" w:rsidTr="006F688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333D9B3" w14:textId="77777777" w:rsidR="00BF317D" w:rsidRPr="001C79FC" w:rsidRDefault="00BF317D" w:rsidP="006F6883">
            <w:pPr>
              <w:ind w:right="27" w:firstLine="567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1C79FC">
              <w:rPr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37337AA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</w:p>
          <w:p w14:paraId="4CF5FFBC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ООО «Грант </w:t>
            </w:r>
            <w:proofErr w:type="spellStart"/>
            <w:r w:rsidRPr="001C79FC">
              <w:rPr>
                <w:sz w:val="25"/>
                <w:szCs w:val="25"/>
                <w:lang w:val="ru-RU"/>
              </w:rPr>
              <w:t>Консалт</w:t>
            </w:r>
            <w:proofErr w:type="spellEnd"/>
            <w:r w:rsidRPr="001C79FC">
              <w:rPr>
                <w:sz w:val="25"/>
                <w:szCs w:val="25"/>
                <w:lang w:val="ru-RU"/>
              </w:rPr>
              <w:t>»</w:t>
            </w:r>
          </w:p>
          <w:p w14:paraId="1460B4AE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5D002178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192019 г. Санкт-Петербург, </w:t>
            </w:r>
          </w:p>
          <w:p w14:paraId="6910E384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ул. Седова, д.11, оф.609,</w:t>
            </w:r>
          </w:p>
          <w:p w14:paraId="47F52082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21ED0819" w14:textId="4438CF84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ИНН 7811548827, ОГРН 1137847150737</w:t>
            </w:r>
          </w:p>
          <w:p w14:paraId="7537847C" w14:textId="77777777" w:rsidR="001C79FC" w:rsidRPr="001C79FC" w:rsidRDefault="001C79FC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2DFDE070" w14:textId="4B5761D9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______________________/</w:t>
            </w:r>
            <w:r w:rsidR="00681B01">
              <w:rPr>
                <w:sz w:val="25"/>
                <w:szCs w:val="25"/>
                <w:lang w:val="ru-RU"/>
              </w:rPr>
              <w:t>Д.В. Тяжлов</w:t>
            </w:r>
            <w:r w:rsidRPr="001C79FC">
              <w:rPr>
                <w:sz w:val="25"/>
                <w:szCs w:val="25"/>
                <w:lang w:val="ru-RU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F97E84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1B7C25F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b/>
                <w:bCs/>
                <w:sz w:val="25"/>
                <w:szCs w:val="25"/>
              </w:rPr>
              <w:t>ПРЕТЕНДЕНТ:</w:t>
            </w:r>
          </w:p>
          <w:p w14:paraId="01A85550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</w:p>
          <w:p w14:paraId="31DD8448" w14:textId="4DE40705" w:rsidR="00BF317D" w:rsidRPr="001C79FC" w:rsidRDefault="00BF317D" w:rsidP="006F6883">
            <w:pPr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________________________________________________________________________________________________________________________________________________________________</w:t>
            </w:r>
          </w:p>
          <w:p w14:paraId="1A287AB2" w14:textId="77777777" w:rsidR="00BF317D" w:rsidRPr="001C79FC" w:rsidRDefault="00BF317D" w:rsidP="001514F0">
            <w:pPr>
              <w:ind w:right="27"/>
              <w:rPr>
                <w:sz w:val="25"/>
                <w:szCs w:val="25"/>
              </w:rPr>
            </w:pPr>
          </w:p>
          <w:p w14:paraId="384EFAF9" w14:textId="5BA782DE" w:rsidR="001514F0" w:rsidRDefault="001514F0" w:rsidP="006F6883">
            <w:pPr>
              <w:tabs>
                <w:tab w:val="left" w:pos="938"/>
              </w:tabs>
              <w:ind w:right="27"/>
              <w:rPr>
                <w:sz w:val="25"/>
                <w:szCs w:val="25"/>
              </w:rPr>
            </w:pPr>
          </w:p>
          <w:p w14:paraId="1DF7BC5F" w14:textId="2D7D3B0C" w:rsidR="00BF317D" w:rsidRPr="001C79FC" w:rsidRDefault="00BF317D" w:rsidP="006F6883">
            <w:pPr>
              <w:tabs>
                <w:tab w:val="left" w:pos="938"/>
              </w:tabs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____________/_______________</w:t>
            </w:r>
          </w:p>
          <w:p w14:paraId="44023F19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253B7538" w14:textId="77777777" w:rsidR="00BF317D" w:rsidRPr="001C79FC" w:rsidRDefault="00BF317D" w:rsidP="006F6883">
            <w:pPr>
              <w:tabs>
                <w:tab w:val="left" w:pos="1206"/>
              </w:tabs>
              <w:ind w:right="27" w:firstLine="567"/>
              <w:rPr>
                <w:sz w:val="25"/>
                <w:szCs w:val="25"/>
              </w:rPr>
            </w:pPr>
          </w:p>
        </w:tc>
      </w:tr>
    </w:tbl>
    <w:p w14:paraId="7F7AA004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</w:rPr>
      </w:pPr>
    </w:p>
    <w:p w14:paraId="1E59C832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  <w:lang w:val="ru-RU"/>
        </w:rPr>
      </w:pPr>
      <w:r w:rsidRPr="001C79FC">
        <w:rPr>
          <w:sz w:val="25"/>
          <w:szCs w:val="25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14:paraId="02BB45BF" w14:textId="77777777" w:rsidR="00444036" w:rsidRPr="00701AC0" w:rsidRDefault="00444036">
      <w:pPr>
        <w:rPr>
          <w:lang w:val="ru-RU"/>
        </w:rPr>
        <w:sectPr w:rsidR="00444036" w:rsidRPr="00701AC0" w:rsidSect="00BF31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ABD1CC3" w14:textId="2D90F7C0" w:rsidR="00444036" w:rsidRPr="00A75937" w:rsidRDefault="0044403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  <w:lang w:val="ru-RU"/>
        </w:rPr>
      </w:pPr>
      <w:bookmarkStart w:id="0" w:name="tariff_YE8_SHORT.pdf"/>
      <w:bookmarkEnd w:id="0"/>
    </w:p>
    <w:sectPr w:rsidR="00444036" w:rsidRPr="00A75937" w:rsidSect="001514F0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335A1"/>
    <w:rsid w:val="001514F0"/>
    <w:rsid w:val="001673C0"/>
    <w:rsid w:val="001A16C9"/>
    <w:rsid w:val="001C79FC"/>
    <w:rsid w:val="001D5C00"/>
    <w:rsid w:val="00236902"/>
    <w:rsid w:val="00326BF3"/>
    <w:rsid w:val="00444036"/>
    <w:rsid w:val="00446575"/>
    <w:rsid w:val="00527D86"/>
    <w:rsid w:val="005D0742"/>
    <w:rsid w:val="00672951"/>
    <w:rsid w:val="00681B01"/>
    <w:rsid w:val="00701AC0"/>
    <w:rsid w:val="00775744"/>
    <w:rsid w:val="00896AB7"/>
    <w:rsid w:val="00945246"/>
    <w:rsid w:val="00A23581"/>
    <w:rsid w:val="00A406F5"/>
    <w:rsid w:val="00A60932"/>
    <w:rsid w:val="00A75937"/>
    <w:rsid w:val="00BF317D"/>
    <w:rsid w:val="00CA0C8A"/>
    <w:rsid w:val="00E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A8F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5D07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qFormat/>
    <w:rsid w:val="00A6093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9">
    <w:name w:val="Заголовок Знак"/>
    <w:basedOn w:val="a0"/>
    <w:link w:val="a8"/>
    <w:rsid w:val="00A6093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A6093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a">
    <w:name w:val="Block Text"/>
    <w:basedOn w:val="a"/>
    <w:rsid w:val="00A6093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A6093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A6093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A609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F3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North Shore</cp:lastModifiedBy>
  <cp:revision>2</cp:revision>
  <cp:lastPrinted>2019-02-05T10:13:00Z</cp:lastPrinted>
  <dcterms:created xsi:type="dcterms:W3CDTF">2020-06-30T14:14:00Z</dcterms:created>
  <dcterms:modified xsi:type="dcterms:W3CDTF">2020-06-30T14:14:00Z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