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ru-RU"/>
        </w:rPr>
        <w:t>(Проект) Договор купли-продажи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ru-RU"/>
        </w:rPr>
        <w:t>(дата, место заключения)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Наименование Продавца, наименование Покупателя, договор о нижеследующем: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1.Предмет Договора.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2.Сумма Договора.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>3.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Обязанности сторон.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>4.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 Порядок расчетов.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5. Ответственность сторон.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Особые условия.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7. Возникновение у Покупателя права собственности, владения и пользования.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8. Заключительные положения.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9. Адреса и реквизиты сторон.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цена продажи;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порядок и срок передачи имущества покупателю;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сведения о наличии или об отсутствии обременения в отношении имущества, в том числе публичного сервитута;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112</Words>
  <Characters>838</Characters>
  <CharactersWithSpaces>931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2020-07-08T16:39:53Z</dcterms:created>
  <dc:creator/>
  <dc:description/>
  <dc:language>ru-RU</dc:language>
  <cp:lastModifiedBy/>
  <dcterms:modified xsi:type="dcterms:W3CDTF">2020-07-08T16:40:18Z</dcterms:modified>
  <cp:revision>1</cp:revision>
  <dc:subject/>
  <dc:title/>
</cp:coreProperties>
</file>