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</w:t>
        <w:tab/>
        <w:tab/>
        <w:tab/>
        <w:tab/>
        <w:t xml:space="preserve">                                               «_____»___________ 2019 г.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пом. 3, почтовый адрес 101000, Москва, а/я 713, torg@va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Конкурсного управляющего Криксина Фёдора Игоревича,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 ООО “Стем Строй” (юр. адрес: 107113, г. Москва, ул. Шумкина, д. 20, стр. 1, ОГРН 1057747591660, ИНН 7725544650, КПП 774501001, процедура конкурсного производства введена Решением Арбитражного суда города Москвы от 10.10.2018 г. (резолютивная часть объявлена 08.10.2018 г.) по делу № А40-25497/15),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ООО «Стем Строй», лот № ____,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оплата, либо на счет, реквизиты которого отдельно указал Заявитель.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101000, г.Москва, а/я 713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40702810202390003099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gi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4/R3zNO1w279Nk4nSrW5Vgt5HQ==">AMUW2mUbwxhjVuETx+OEYqW6a8mk1HkpW6UFRlugtzleNK0Y2rehNBBNZmvUPPyUqff1Y/V8GkN+C2bfYU/OFymwWpxDhqdbfX5kbkP+JF4eHf00Q2Gvsop+NbCMBqBKQYux/wDjxnlN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2018-12-26T11:54:00Z</dcterms:created>
  <dc:creator>Vargi</dc:creator>
</cp:coreProperties>
</file>