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D23083">
        <w:rPr>
          <w:sz w:val="22"/>
          <w:szCs w:val="22"/>
        </w:rPr>
        <w:t>4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D23083">
        <w:rPr>
          <w:rStyle w:val="a3"/>
          <w:b/>
          <w:color w:val="000000"/>
          <w:sz w:val="22"/>
          <w:szCs w:val="22"/>
          <w:u w:val="none"/>
        </w:rPr>
        <w:t>4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proofErr w:type="spellStart"/>
      <w:r w:rsidR="00F3121B">
        <w:rPr>
          <w:sz w:val="22"/>
          <w:szCs w:val="22"/>
          <w:lang w:eastAsia="ru-RU"/>
        </w:rPr>
        <w:t>Мельнейчуку</w:t>
      </w:r>
      <w:proofErr w:type="spellEnd"/>
      <w:r w:rsidR="00F3121B">
        <w:rPr>
          <w:sz w:val="22"/>
          <w:szCs w:val="22"/>
          <w:lang w:eastAsia="ru-RU"/>
        </w:rPr>
        <w:t xml:space="preserve"> Илье Вячеславовичу </w:t>
      </w:r>
      <w:r w:rsidRPr="00455E2F">
        <w:rPr>
          <w:sz w:val="22"/>
          <w:szCs w:val="22"/>
          <w:lang w:eastAsia="ru-RU"/>
        </w:rPr>
        <w:t xml:space="preserve">ИНН </w:t>
      </w:r>
      <w:r w:rsidR="00F3121B">
        <w:rPr>
          <w:sz w:val="22"/>
          <w:szCs w:val="22"/>
          <w:lang w:eastAsia="ru-RU"/>
        </w:rPr>
        <w:t>780</w:t>
      </w:r>
      <w:r w:rsidRPr="00455E2F">
        <w:rPr>
          <w:sz w:val="22"/>
          <w:szCs w:val="22"/>
          <w:lang w:eastAsia="ru-RU"/>
        </w:rPr>
        <w:t> </w:t>
      </w:r>
      <w:r w:rsidR="00F3121B">
        <w:rPr>
          <w:sz w:val="22"/>
          <w:szCs w:val="22"/>
          <w:lang w:eastAsia="ru-RU"/>
        </w:rPr>
        <w:t>448</w:t>
      </w:r>
      <w:r w:rsidR="00460488">
        <w:rPr>
          <w:sz w:val="22"/>
          <w:szCs w:val="22"/>
          <w:lang w:eastAsia="ru-RU"/>
        </w:rPr>
        <w:t> </w:t>
      </w:r>
      <w:r w:rsidR="00F3121B">
        <w:rPr>
          <w:sz w:val="22"/>
          <w:szCs w:val="22"/>
          <w:lang w:eastAsia="ru-RU"/>
        </w:rPr>
        <w:t>704</w:t>
      </w:r>
      <w:r w:rsidR="00460488">
        <w:rPr>
          <w:sz w:val="22"/>
          <w:szCs w:val="22"/>
          <w:lang w:eastAsia="ru-RU"/>
        </w:rPr>
        <w:t xml:space="preserve"> </w:t>
      </w:r>
      <w:r w:rsidR="00F3121B">
        <w:rPr>
          <w:sz w:val="22"/>
          <w:szCs w:val="22"/>
          <w:lang w:eastAsia="ru-RU"/>
        </w:rPr>
        <w:t>803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F3121B">
        <w:rPr>
          <w:sz w:val="22"/>
          <w:szCs w:val="22"/>
          <w:lang w:eastAsia="ru-RU"/>
        </w:rPr>
        <w:t>25</w:t>
      </w:r>
      <w:r w:rsidR="00460488">
        <w:rPr>
          <w:sz w:val="22"/>
          <w:szCs w:val="22"/>
          <w:lang w:eastAsia="ru-RU"/>
        </w:rPr>
        <w:t> </w:t>
      </w:r>
      <w:r w:rsidR="00F3121B">
        <w:rPr>
          <w:sz w:val="22"/>
          <w:szCs w:val="22"/>
          <w:lang w:eastAsia="ru-RU"/>
        </w:rPr>
        <w:t>979</w:t>
      </w:r>
      <w:r w:rsidR="00460488">
        <w:rPr>
          <w:sz w:val="22"/>
          <w:szCs w:val="22"/>
          <w:lang w:eastAsia="ru-RU"/>
        </w:rPr>
        <w:t xml:space="preserve"> </w:t>
      </w:r>
      <w:r w:rsidR="00F3121B">
        <w:rPr>
          <w:sz w:val="22"/>
          <w:szCs w:val="22"/>
          <w:lang w:eastAsia="ru-RU"/>
        </w:rPr>
        <w:t>116</w:t>
      </w:r>
      <w:r w:rsidRPr="00455E2F">
        <w:rPr>
          <w:sz w:val="22"/>
          <w:szCs w:val="22"/>
          <w:lang w:eastAsia="ru-RU"/>
        </w:rPr>
        <w:t>,</w:t>
      </w:r>
      <w:r w:rsidR="00F3121B">
        <w:rPr>
          <w:sz w:val="22"/>
          <w:szCs w:val="22"/>
          <w:lang w:eastAsia="ru-RU"/>
        </w:rPr>
        <w:t>31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D23083">
        <w:rPr>
          <w:sz w:val="22"/>
          <w:szCs w:val="22"/>
          <w:lang w:eastAsia="ru-RU"/>
        </w:rPr>
        <w:t>23</w:t>
      </w:r>
      <w:r>
        <w:rPr>
          <w:sz w:val="22"/>
          <w:szCs w:val="22"/>
          <w:lang w:eastAsia="ru-RU"/>
        </w:rPr>
        <w:t> </w:t>
      </w:r>
      <w:r w:rsidR="00D23083">
        <w:rPr>
          <w:sz w:val="22"/>
          <w:szCs w:val="22"/>
          <w:lang w:eastAsia="ru-RU"/>
        </w:rPr>
        <w:t>381</w:t>
      </w:r>
      <w:r>
        <w:rPr>
          <w:sz w:val="22"/>
          <w:szCs w:val="22"/>
          <w:lang w:eastAsia="ru-RU"/>
        </w:rPr>
        <w:t> </w:t>
      </w:r>
      <w:r w:rsidR="00D23083">
        <w:rPr>
          <w:sz w:val="22"/>
          <w:szCs w:val="22"/>
          <w:lang w:eastAsia="ru-RU"/>
        </w:rPr>
        <w:t>204</w:t>
      </w:r>
      <w:r>
        <w:rPr>
          <w:sz w:val="22"/>
          <w:szCs w:val="22"/>
          <w:lang w:eastAsia="ru-RU"/>
        </w:rPr>
        <w:t>,</w:t>
      </w:r>
      <w:r w:rsidR="00D23083">
        <w:rPr>
          <w:sz w:val="22"/>
          <w:szCs w:val="22"/>
          <w:lang w:eastAsia="ru-RU"/>
        </w:rPr>
        <w:t>67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 w:rsidR="00D23083">
        <w:rPr>
          <w:rStyle w:val="a3"/>
          <w:color w:val="000000"/>
          <w:sz w:val="22"/>
          <w:szCs w:val="22"/>
          <w:u w:val="none"/>
        </w:rPr>
        <w:t>4</w:t>
      </w:r>
      <w:r w:rsidR="00460488">
        <w:rPr>
          <w:rStyle w:val="a3"/>
          <w:color w:val="000000"/>
          <w:sz w:val="22"/>
          <w:szCs w:val="22"/>
          <w:u w:val="none"/>
        </w:rPr>
        <w:t> </w:t>
      </w:r>
      <w:r w:rsidR="00D23083">
        <w:rPr>
          <w:rStyle w:val="a3"/>
          <w:color w:val="000000"/>
          <w:sz w:val="22"/>
          <w:szCs w:val="22"/>
          <w:u w:val="none"/>
        </w:rPr>
        <w:t>676</w:t>
      </w:r>
      <w:r w:rsidR="00460488">
        <w:rPr>
          <w:rStyle w:val="a3"/>
          <w:color w:val="000000"/>
          <w:sz w:val="22"/>
          <w:szCs w:val="22"/>
          <w:u w:val="none"/>
        </w:rPr>
        <w:t xml:space="preserve"> </w:t>
      </w:r>
      <w:r w:rsidR="00D23083">
        <w:rPr>
          <w:rStyle w:val="a3"/>
          <w:color w:val="000000"/>
          <w:sz w:val="22"/>
          <w:szCs w:val="22"/>
          <w:u w:val="none"/>
        </w:rPr>
        <w:t>240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D23083">
        <w:rPr>
          <w:rStyle w:val="a3"/>
          <w:color w:val="000000"/>
          <w:sz w:val="22"/>
          <w:szCs w:val="22"/>
          <w:u w:val="none"/>
        </w:rPr>
        <w:t>93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lastRenderedPageBreak/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C1A7D"/>
    <w:rsid w:val="000F7EBE"/>
    <w:rsid w:val="00110F5F"/>
    <w:rsid w:val="0015450C"/>
    <w:rsid w:val="00162C37"/>
    <w:rsid w:val="00313649"/>
    <w:rsid w:val="0034727D"/>
    <w:rsid w:val="00437132"/>
    <w:rsid w:val="00455E2F"/>
    <w:rsid w:val="00457F02"/>
    <w:rsid w:val="00460488"/>
    <w:rsid w:val="004978A7"/>
    <w:rsid w:val="004E3B97"/>
    <w:rsid w:val="00501396"/>
    <w:rsid w:val="00572138"/>
    <w:rsid w:val="00646292"/>
    <w:rsid w:val="00660C75"/>
    <w:rsid w:val="006E0B0F"/>
    <w:rsid w:val="00705000"/>
    <w:rsid w:val="007879D0"/>
    <w:rsid w:val="00871A7E"/>
    <w:rsid w:val="008B0CEC"/>
    <w:rsid w:val="008B5578"/>
    <w:rsid w:val="00967839"/>
    <w:rsid w:val="00AD696D"/>
    <w:rsid w:val="00AE270A"/>
    <w:rsid w:val="00AF734E"/>
    <w:rsid w:val="00B36DE0"/>
    <w:rsid w:val="00BE5F50"/>
    <w:rsid w:val="00C151AF"/>
    <w:rsid w:val="00C82B4A"/>
    <w:rsid w:val="00CD5C21"/>
    <w:rsid w:val="00D23083"/>
    <w:rsid w:val="00D5282A"/>
    <w:rsid w:val="00DA213C"/>
    <w:rsid w:val="00DF22E5"/>
    <w:rsid w:val="00E03F39"/>
    <w:rsid w:val="00E10162"/>
    <w:rsid w:val="00EA19B0"/>
    <w:rsid w:val="00F02048"/>
    <w:rsid w:val="00F0510C"/>
    <w:rsid w:val="00F3121B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9CCF-F7D6-4F8E-97F8-64F806C9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2020-09-02T15:18:00Z</dcterms:created>
  <dcterms:modified xsi:type="dcterms:W3CDTF">2020-09-02T15:19:00Z</dcterms:modified>
</cp:coreProperties>
</file>