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E9" w:rsidRDefault="003064E9" w:rsidP="003064E9">
      <w:pPr>
        <w:spacing w:line="20" w:lineRule="exact"/>
        <w:rPr>
          <w:sz w:val="24"/>
          <w:szCs w:val="24"/>
        </w:rPr>
      </w:pPr>
    </w:p>
    <w:p w:rsidR="003064E9" w:rsidRDefault="003064E9" w:rsidP="003064E9">
      <w:pPr>
        <w:spacing w:line="200" w:lineRule="exact"/>
        <w:rPr>
          <w:sz w:val="24"/>
          <w:szCs w:val="24"/>
        </w:rPr>
      </w:pPr>
    </w:p>
    <w:p w:rsidR="003064E9" w:rsidRDefault="003064E9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«Утверждено»:</w:t>
      </w:r>
    </w:p>
    <w:p w:rsidR="003064E9" w:rsidRDefault="003064E9" w:rsidP="003064E9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собранием кредиторов</w:t>
      </w:r>
    </w:p>
    <w:p w:rsidR="003064E9" w:rsidRDefault="003064E9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ООО "</w:t>
      </w:r>
      <w:proofErr w:type="spellStart"/>
      <w:r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Компани</w:t>
      </w:r>
      <w:proofErr w:type="spellEnd"/>
      <w:r>
        <w:rPr>
          <w:rFonts w:eastAsia="Times New Roman"/>
          <w:b/>
          <w:bCs/>
          <w:sz w:val="24"/>
          <w:szCs w:val="24"/>
        </w:rPr>
        <w:t>"</w:t>
      </w:r>
    </w:p>
    <w:p w:rsidR="003064E9" w:rsidRDefault="003064E9" w:rsidP="003064E9">
      <w:pPr>
        <w:spacing w:line="200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331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20" w:lineRule="exact"/>
        <w:jc w:val="right"/>
        <w:rPr>
          <w:sz w:val="24"/>
          <w:szCs w:val="24"/>
        </w:rPr>
      </w:pPr>
    </w:p>
    <w:p w:rsidR="003064E9" w:rsidRDefault="003064E9" w:rsidP="003064E9">
      <w:pPr>
        <w:spacing w:line="68" w:lineRule="exact"/>
        <w:jc w:val="right"/>
        <w:rPr>
          <w:sz w:val="24"/>
          <w:szCs w:val="24"/>
        </w:rPr>
      </w:pPr>
    </w:p>
    <w:p w:rsidR="003064E9" w:rsidRDefault="003330CC" w:rsidP="003064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</w:t>
      </w:r>
      <w:r w:rsidR="00484FF1">
        <w:rPr>
          <w:rFonts w:eastAsia="Times New Roman"/>
          <w:b/>
          <w:bCs/>
          <w:sz w:val="24"/>
          <w:szCs w:val="24"/>
        </w:rPr>
        <w:t xml:space="preserve"> августа </w:t>
      </w:r>
      <w:r w:rsidR="00063AA2">
        <w:rPr>
          <w:rFonts w:eastAsia="Times New Roman"/>
          <w:b/>
          <w:bCs/>
          <w:sz w:val="24"/>
          <w:szCs w:val="24"/>
        </w:rPr>
        <w:t>2020</w:t>
      </w:r>
      <w:r w:rsidR="003064E9">
        <w:rPr>
          <w:rFonts w:eastAsia="Times New Roman"/>
          <w:b/>
          <w:bCs/>
          <w:sz w:val="24"/>
          <w:szCs w:val="24"/>
        </w:rPr>
        <w:t xml:space="preserve"> года</w:t>
      </w:r>
    </w:p>
    <w:p w:rsidR="003064E9" w:rsidRDefault="003064E9" w:rsidP="003064E9">
      <w:pPr>
        <w:spacing w:line="200" w:lineRule="exact"/>
        <w:rPr>
          <w:sz w:val="24"/>
          <w:szCs w:val="24"/>
        </w:rPr>
      </w:pPr>
    </w:p>
    <w:p w:rsidR="003064E9" w:rsidRDefault="003064E9" w:rsidP="003064E9"/>
    <w:p w:rsidR="003064E9" w:rsidRDefault="003064E9" w:rsidP="003064E9">
      <w:pPr>
        <w:spacing w:line="228" w:lineRule="exact"/>
        <w:rPr>
          <w:sz w:val="24"/>
          <w:szCs w:val="24"/>
        </w:rPr>
      </w:pPr>
    </w:p>
    <w:p w:rsidR="003064E9" w:rsidRDefault="003064E9" w:rsidP="003064E9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3064E9" w:rsidRDefault="003064E9" w:rsidP="003064E9">
      <w:pPr>
        <w:spacing w:line="12" w:lineRule="exact"/>
        <w:rPr>
          <w:sz w:val="24"/>
          <w:szCs w:val="24"/>
        </w:rPr>
      </w:pPr>
    </w:p>
    <w:p w:rsidR="003064E9" w:rsidRDefault="003064E9" w:rsidP="003064E9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порядке, сроках и условиях продажи не</w:t>
      </w:r>
      <w:r w:rsidR="005733F9">
        <w:rPr>
          <w:rFonts w:eastAsia="Times New Roman"/>
          <w:b/>
          <w:bCs/>
          <w:sz w:val="24"/>
          <w:szCs w:val="24"/>
        </w:rPr>
        <w:t xml:space="preserve"> находящегося в залоге</w:t>
      </w:r>
      <w:r>
        <w:rPr>
          <w:rFonts w:eastAsia="Times New Roman"/>
          <w:b/>
          <w:bCs/>
          <w:sz w:val="24"/>
          <w:szCs w:val="24"/>
        </w:rPr>
        <w:t xml:space="preserve"> имущества ООО «</w:t>
      </w:r>
      <w:proofErr w:type="spellStart"/>
      <w:r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Компани</w:t>
      </w:r>
      <w:proofErr w:type="spellEnd"/>
      <w:r>
        <w:rPr>
          <w:rFonts w:eastAsia="Times New Roman"/>
          <w:b/>
          <w:bCs/>
          <w:sz w:val="24"/>
          <w:szCs w:val="24"/>
        </w:rPr>
        <w:t>», подлежащего продаже посредством проведения торгов</w:t>
      </w:r>
    </w:p>
    <w:p w:rsidR="003064E9" w:rsidRDefault="003064E9" w:rsidP="003064E9">
      <w:pPr>
        <w:spacing w:line="2" w:lineRule="exact"/>
        <w:jc w:val="center"/>
        <w:rPr>
          <w:sz w:val="24"/>
          <w:szCs w:val="24"/>
        </w:rPr>
      </w:pPr>
    </w:p>
    <w:p w:rsidR="003064E9" w:rsidRDefault="003064E9" w:rsidP="003064E9">
      <w:pPr>
        <w:spacing w:line="1" w:lineRule="exact"/>
        <w:rPr>
          <w:sz w:val="24"/>
          <w:szCs w:val="24"/>
        </w:rPr>
      </w:pPr>
    </w:p>
    <w:p w:rsidR="003064E9" w:rsidRPr="00DD48B0" w:rsidRDefault="005733F9" w:rsidP="003064E9">
      <w:pPr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</w:t>
      </w:r>
      <w:r w:rsidR="00484FF1">
        <w:rPr>
          <w:rFonts w:eastAsia="Times New Roman"/>
          <w:bCs/>
          <w:sz w:val="24"/>
          <w:szCs w:val="24"/>
        </w:rPr>
        <w:t>в новой редакции</w:t>
      </w:r>
      <w:r w:rsidR="003064E9" w:rsidRPr="00DD48B0">
        <w:rPr>
          <w:rFonts w:eastAsia="Times New Roman"/>
          <w:bCs/>
          <w:sz w:val="24"/>
          <w:szCs w:val="24"/>
        </w:rPr>
        <w:t>)</w:t>
      </w:r>
    </w:p>
    <w:p w:rsidR="003064E9" w:rsidRDefault="003064E9" w:rsidP="003064E9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980"/>
        <w:gridCol w:w="1580"/>
        <w:gridCol w:w="5140"/>
        <w:gridCol w:w="30"/>
      </w:tblGrid>
      <w:tr w:rsidR="003064E9" w:rsidTr="00024536">
        <w:trPr>
          <w:trHeight w:val="278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 с  ограниченной  ответственностью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«Якутская алмазная компания»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4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58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Сокращенное  наименование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Якуталмаз</w:t>
            </w:r>
            <w:proofErr w:type="spellEnd"/>
            <w:r w:rsidR="00D15A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D15A4E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омпани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9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1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4"/>
        </w:trPr>
        <w:tc>
          <w:tcPr>
            <w:tcW w:w="3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должника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D15A4E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</w:t>
            </w:r>
            <w:r w:rsidR="003064E9">
              <w:rPr>
                <w:rFonts w:eastAsia="Times New Roman"/>
                <w:sz w:val="24"/>
                <w:szCs w:val="24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3064E9">
              <w:rPr>
                <w:rFonts w:eastAsia="Times New Roman"/>
                <w:sz w:val="24"/>
                <w:szCs w:val="24"/>
              </w:rPr>
              <w:t xml:space="preserve">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3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Ленина</w:t>
            </w:r>
            <w:r w:rsidR="00D15A4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10/1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2"/>
        </w:trPr>
        <w:tc>
          <w:tcPr>
            <w:tcW w:w="4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для почтовых отправлений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3064E9" w:rsidRDefault="00D15A4E" w:rsidP="0002453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</w:t>
            </w:r>
            <w:r w:rsidR="003064E9">
              <w:rPr>
                <w:rFonts w:eastAsia="Times New Roman"/>
                <w:sz w:val="24"/>
                <w:szCs w:val="24"/>
              </w:rPr>
              <w:t>010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3064E9">
              <w:rPr>
                <w:rFonts w:eastAsia="Times New Roman"/>
                <w:sz w:val="24"/>
                <w:szCs w:val="24"/>
              </w:rPr>
              <w:t xml:space="preserve">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37"/>
        </w:trPr>
        <w:tc>
          <w:tcPr>
            <w:tcW w:w="4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ПКИЗ "Наука", д.54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1435188938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1071435009909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  <w:tr w:rsidR="003064E9" w:rsidTr="00024536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4E9" w:rsidRDefault="003064E9" w:rsidP="0002453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143501001</w:t>
            </w:r>
          </w:p>
        </w:tc>
        <w:tc>
          <w:tcPr>
            <w:tcW w:w="0" w:type="dxa"/>
            <w:vAlign w:val="bottom"/>
          </w:tcPr>
          <w:p w:rsidR="003064E9" w:rsidRDefault="003064E9" w:rsidP="00024536">
            <w:pPr>
              <w:rPr>
                <w:sz w:val="1"/>
                <w:szCs w:val="1"/>
              </w:rPr>
            </w:pPr>
          </w:p>
        </w:tc>
      </w:tr>
    </w:tbl>
    <w:p w:rsidR="003064E9" w:rsidRDefault="003064E9" w:rsidP="003064E9">
      <w:pPr>
        <w:spacing w:line="281" w:lineRule="exact"/>
        <w:rPr>
          <w:sz w:val="24"/>
          <w:szCs w:val="24"/>
        </w:rPr>
      </w:pPr>
    </w:p>
    <w:p w:rsidR="003064E9" w:rsidRDefault="003064E9" w:rsidP="003064E9">
      <w:pPr>
        <w:spacing w:line="238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разработано в соответствии с требованиями Гражданского кодекса Российской Федерации, Федерального Закона №127-ФЗ от 26.10.2002г. «О несостоятельности (банкротстве)», Приказа Минэкономразвития РФ № 495 от 23.07.2015 г.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</w:t>
      </w:r>
    </w:p>
    <w:p w:rsidR="003064E9" w:rsidRDefault="003064E9" w:rsidP="003064E9">
      <w:pPr>
        <w:spacing w:line="19" w:lineRule="exact"/>
        <w:rPr>
          <w:sz w:val="24"/>
          <w:szCs w:val="24"/>
        </w:rPr>
      </w:pPr>
    </w:p>
    <w:p w:rsidR="003064E9" w:rsidRDefault="003064E9" w:rsidP="003064E9">
      <w:pPr>
        <w:numPr>
          <w:ilvl w:val="0"/>
          <w:numId w:val="1"/>
        </w:numPr>
        <w:tabs>
          <w:tab w:val="left" w:pos="242"/>
        </w:tabs>
        <w:spacing w:line="237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p w:rsidR="003064E9" w:rsidRDefault="003064E9" w:rsidP="003064E9">
      <w:pPr>
        <w:spacing w:line="247" w:lineRule="exact"/>
        <w:rPr>
          <w:sz w:val="24"/>
          <w:szCs w:val="24"/>
        </w:rPr>
      </w:pPr>
    </w:p>
    <w:p w:rsidR="003064E9" w:rsidRDefault="003064E9" w:rsidP="003064E9">
      <w:pPr>
        <w:numPr>
          <w:ilvl w:val="0"/>
          <w:numId w:val="2"/>
        </w:numPr>
        <w:tabs>
          <w:tab w:val="left" w:pos="5280"/>
        </w:tabs>
        <w:ind w:left="5280" w:hanging="7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Термины</w:t>
      </w:r>
    </w:p>
    <w:p w:rsidR="003064E9" w:rsidRDefault="003064E9" w:rsidP="003064E9">
      <w:pPr>
        <w:spacing w:line="67" w:lineRule="exact"/>
        <w:rPr>
          <w:sz w:val="24"/>
          <w:szCs w:val="24"/>
        </w:rPr>
      </w:pPr>
    </w:p>
    <w:p w:rsidR="003064E9" w:rsidRDefault="003064E9" w:rsidP="003064E9">
      <w:pPr>
        <w:spacing w:line="234" w:lineRule="auto"/>
        <w:ind w:right="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Организатор торгов </w:t>
      </w:r>
      <w:r>
        <w:rPr>
          <w:rFonts w:eastAsia="Times New Roman"/>
          <w:sz w:val="24"/>
          <w:szCs w:val="24"/>
        </w:rPr>
        <w:t>– Конкурсный управляющий ООО «</w:t>
      </w:r>
      <w:proofErr w:type="spellStart"/>
      <w:r>
        <w:rPr>
          <w:rFonts w:eastAsia="Times New Roman"/>
          <w:sz w:val="24"/>
          <w:szCs w:val="24"/>
        </w:rPr>
        <w:t>Якуталмаз</w:t>
      </w:r>
      <w:proofErr w:type="spellEnd"/>
      <w:r w:rsidR="00D15A4E">
        <w:rPr>
          <w:rFonts w:eastAsia="Times New Roman"/>
          <w:sz w:val="24"/>
          <w:szCs w:val="24"/>
        </w:rPr>
        <w:t xml:space="preserve"> </w:t>
      </w:r>
      <w:proofErr w:type="spellStart"/>
      <w:r w:rsidR="00D15A4E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омпани</w:t>
      </w:r>
      <w:proofErr w:type="spellEnd"/>
      <w:r>
        <w:rPr>
          <w:rFonts w:eastAsia="Times New Roman"/>
          <w:sz w:val="24"/>
          <w:szCs w:val="24"/>
        </w:rPr>
        <w:t>» Григорьев Сергей Исаевич, член Ассоциации СОАУ «Меркурий»</w:t>
      </w:r>
      <w:r w:rsidR="00D15A4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(ИНН 143505905823) или привлекаемая конкурсным управляющим для этих целей специализированная организация, оплата услуг которой осуществляется за счет средств Должника.</w:t>
      </w:r>
    </w:p>
    <w:p w:rsidR="003064E9" w:rsidRDefault="003064E9" w:rsidP="003064E9">
      <w:pPr>
        <w:spacing w:line="14" w:lineRule="exact"/>
        <w:jc w:val="both"/>
        <w:rPr>
          <w:sz w:val="24"/>
          <w:szCs w:val="24"/>
        </w:rPr>
      </w:pPr>
    </w:p>
    <w:p w:rsidR="003064E9" w:rsidRDefault="003064E9" w:rsidP="003064E9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Оператор электронной площадки – </w:t>
      </w:r>
      <w:r>
        <w:rPr>
          <w:rFonts w:eastAsia="Times New Roman"/>
          <w:sz w:val="24"/>
          <w:szCs w:val="24"/>
        </w:rPr>
        <w:t>Открытое акционерное общество «Российский аукционный дом», владеющее на праве собственности электронной торговой площадкой (доступ к сайту – http:\\www.lot-online.ru), либо иное общество, аккредитованное при саморегулируемой организации арбитражных управляющих, членом которой является конкурсный управляющий должника.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День торгов </w:t>
      </w:r>
      <w:r>
        <w:rPr>
          <w:rFonts w:eastAsia="Times New Roman"/>
          <w:sz w:val="24"/>
          <w:szCs w:val="24"/>
        </w:rPr>
        <w:t>– день, в течение которого проводятся торги.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Заявитель </w:t>
      </w:r>
      <w:r>
        <w:rPr>
          <w:rFonts w:eastAsia="Times New Roman"/>
          <w:sz w:val="24"/>
          <w:szCs w:val="24"/>
        </w:rPr>
        <w:t>-юридическое или физическое лицо, направившее заявку на участие в торгах.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Закон о банкротстве</w:t>
      </w:r>
      <w:r>
        <w:rPr>
          <w:rFonts w:eastAsia="Times New Roman"/>
          <w:sz w:val="24"/>
          <w:szCs w:val="24"/>
        </w:rPr>
        <w:t>– Федеральный закон «О несостоятельности (банкротстве)» от 26.10.2002 № 127-ФЗ.</w:t>
      </w:r>
    </w:p>
    <w:p w:rsidR="003064E9" w:rsidRDefault="003064E9" w:rsidP="003064E9">
      <w:pPr>
        <w:spacing w:line="237" w:lineRule="auto"/>
        <w:ind w:left="142" w:right="3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Положение </w:t>
      </w:r>
      <w:r>
        <w:rPr>
          <w:rFonts w:eastAsia="Times New Roman"/>
          <w:sz w:val="24"/>
          <w:szCs w:val="24"/>
        </w:rPr>
        <w:t xml:space="preserve">– настоящее положение о порядке, сроках и условиях проведения торгов по реализации </w:t>
      </w:r>
      <w:proofErr w:type="spellStart"/>
      <w:r>
        <w:rPr>
          <w:rFonts w:eastAsia="Times New Roman"/>
          <w:sz w:val="24"/>
          <w:szCs w:val="24"/>
        </w:rPr>
        <w:t>незалогового</w:t>
      </w:r>
      <w:proofErr w:type="spellEnd"/>
      <w:r>
        <w:rPr>
          <w:rFonts w:eastAsia="Times New Roman"/>
          <w:sz w:val="24"/>
          <w:szCs w:val="24"/>
        </w:rPr>
        <w:t xml:space="preserve"> имущества;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Порядок проведения электронных торгов </w:t>
      </w:r>
      <w:r>
        <w:rPr>
          <w:rFonts w:eastAsia="Times New Roman"/>
          <w:sz w:val="24"/>
          <w:szCs w:val="24"/>
        </w:rPr>
        <w:t>– порядок проведения торгов в электронной форме при продаже имущества должников в ходе процедур, применяемых в деле о банкротстве, утвержденный Приказом Минэкономразвития №495 от 23.07.2015 (Зарегистрировано в Минюсте России 20.02.2016 N 41182);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Участник </w:t>
      </w:r>
      <w:r>
        <w:rPr>
          <w:rFonts w:eastAsia="Times New Roman"/>
          <w:sz w:val="24"/>
          <w:szCs w:val="24"/>
        </w:rPr>
        <w:t>-юридическое или физическое лицо, индивидуальный предприниматель, подавшее заявку на участие в торгах с приложением полного пакета документов, перечислившее задаток на расчетный счет, указанный в публикации о торгах, а также зарегистрированное в качестве участника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Задаток </w:t>
      </w:r>
      <w:r>
        <w:rPr>
          <w:rFonts w:eastAsia="Times New Roman"/>
          <w:sz w:val="24"/>
          <w:szCs w:val="24"/>
        </w:rPr>
        <w:t>– сумма денежных средств, вносимая претендентом в обеспечение исполнения будущего обязательства Участника по заключению договора купли-продажи и оплате приобретаемого на торгах имущества.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Лот </w:t>
      </w:r>
      <w:r>
        <w:rPr>
          <w:rFonts w:eastAsia="Times New Roman"/>
          <w:sz w:val="24"/>
          <w:szCs w:val="24"/>
        </w:rPr>
        <w:t>– имущество Должника, выставляемое на продажу на торгах как самостоятельнаяпозиция, зафиксированная под определенным номером.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Шаг аукциона </w:t>
      </w:r>
      <w:r>
        <w:rPr>
          <w:rFonts w:eastAsia="Times New Roman"/>
          <w:sz w:val="24"/>
          <w:szCs w:val="24"/>
        </w:rPr>
        <w:t>-шаг повышения цены от начальной стоимости Лота.</w:t>
      </w:r>
    </w:p>
    <w:p w:rsidR="003064E9" w:rsidRDefault="003064E9" w:rsidP="003064E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Победитель торгов </w:t>
      </w:r>
      <w:r>
        <w:rPr>
          <w:rFonts w:eastAsia="Times New Roman"/>
          <w:sz w:val="24"/>
          <w:szCs w:val="24"/>
        </w:rPr>
        <w:t>– лицо, признанное победителем торгов.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Pr="000703C8" w:rsidRDefault="003064E9" w:rsidP="003064E9">
      <w:pPr>
        <w:shd w:val="clear" w:color="auto" w:fill="FFFFFF" w:themeFill="background1"/>
        <w:spacing w:line="234" w:lineRule="auto"/>
        <w:ind w:left="120" w:right="340" w:firstLine="708"/>
        <w:jc w:val="both"/>
      </w:pPr>
      <w:r>
        <w:rPr>
          <w:rFonts w:eastAsia="Times New Roman"/>
          <w:b/>
          <w:bCs/>
          <w:sz w:val="24"/>
          <w:szCs w:val="24"/>
        </w:rPr>
        <w:t xml:space="preserve">Начальная цена продажи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 xml:space="preserve">начальная </w:t>
      </w:r>
      <w:r>
        <w:rPr>
          <w:rFonts w:eastAsia="Times New Roman"/>
          <w:sz w:val="24"/>
          <w:szCs w:val="24"/>
        </w:rPr>
        <w:t>цена продажи имущества, установленная собранием кредиторов Должника.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Электронная торговая площадка </w:t>
      </w:r>
      <w:r>
        <w:rPr>
          <w:rFonts w:eastAsia="Times New Roman"/>
          <w:sz w:val="24"/>
          <w:szCs w:val="24"/>
        </w:rPr>
        <w:t>-Российский аукционный дом, www.lot-online.ru, либо иная электронная торговая площадка, аккредитованная при саморегулируемой организации арбитражных управляющих, членов которой является конкурсный управляющий должника.</w:t>
      </w:r>
    </w:p>
    <w:p w:rsidR="003064E9" w:rsidRDefault="003064E9" w:rsidP="003064E9">
      <w:pPr>
        <w:ind w:left="820"/>
        <w:rPr>
          <w:sz w:val="20"/>
          <w:szCs w:val="20"/>
        </w:rPr>
      </w:pPr>
    </w:p>
    <w:p w:rsidR="003064E9" w:rsidRDefault="003064E9" w:rsidP="003064E9">
      <w:pPr>
        <w:spacing w:line="245" w:lineRule="exact"/>
        <w:rPr>
          <w:sz w:val="20"/>
          <w:szCs w:val="20"/>
        </w:rPr>
      </w:pPr>
    </w:p>
    <w:p w:rsidR="003064E9" w:rsidRDefault="003064E9" w:rsidP="003064E9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Общие положения.</w:t>
      </w:r>
    </w:p>
    <w:p w:rsidR="003064E9" w:rsidRDefault="003064E9" w:rsidP="003064E9">
      <w:pPr>
        <w:spacing w:line="8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Настоящее Положение определяет порядок, сроки и условия продажи имущества ООО «</w:t>
      </w:r>
      <w:proofErr w:type="spellStart"/>
      <w:r>
        <w:rPr>
          <w:rFonts w:eastAsia="Times New Roman"/>
          <w:sz w:val="24"/>
          <w:szCs w:val="24"/>
        </w:rPr>
        <w:t>Якуталмаз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Компани</w:t>
      </w:r>
      <w:proofErr w:type="spellEnd"/>
      <w:r>
        <w:rPr>
          <w:rFonts w:eastAsia="Times New Roman"/>
          <w:sz w:val="24"/>
          <w:szCs w:val="24"/>
        </w:rPr>
        <w:t>» (далее - Должник), не обремененного залогом.</w:t>
      </w:r>
    </w:p>
    <w:p w:rsidR="003064E9" w:rsidRDefault="003064E9" w:rsidP="003064E9">
      <w:pPr>
        <w:spacing w:line="14" w:lineRule="exact"/>
        <w:jc w:val="both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Продажа имущества должника осуществляется в соответствии </w:t>
      </w:r>
      <w:r w:rsidRPr="00634338">
        <w:t>со ст. 110, 111, ст. 139</w:t>
      </w:r>
      <w:r>
        <w:rPr>
          <w:rFonts w:eastAsia="Times New Roman"/>
          <w:sz w:val="24"/>
          <w:szCs w:val="24"/>
        </w:rPr>
        <w:t xml:space="preserve"> Закона о банкротстве.</w:t>
      </w:r>
    </w:p>
    <w:p w:rsidR="003064E9" w:rsidRDefault="003064E9" w:rsidP="003064E9">
      <w:pPr>
        <w:spacing w:line="14" w:lineRule="exact"/>
        <w:jc w:val="both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Настоящее Положение устанавливает порядок, сроки и условия продажи следующего имущества Должника (далее – Имущество):</w:t>
      </w:r>
    </w:p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0478" w:type="dxa"/>
        <w:tblInd w:w="120" w:type="dxa"/>
        <w:tblLayout w:type="fixed"/>
        <w:tblLook w:val="04A0"/>
      </w:tblPr>
      <w:tblGrid>
        <w:gridCol w:w="1142"/>
        <w:gridCol w:w="5225"/>
        <w:gridCol w:w="1843"/>
        <w:gridCol w:w="2268"/>
      </w:tblGrid>
      <w:tr w:rsidR="003064E9" w:rsidTr="0017046B">
        <w:trPr>
          <w:trHeight w:val="520"/>
        </w:trPr>
        <w:tc>
          <w:tcPr>
            <w:tcW w:w="1142" w:type="dxa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№ лота</w:t>
            </w:r>
          </w:p>
        </w:tc>
        <w:tc>
          <w:tcPr>
            <w:tcW w:w="5225" w:type="dxa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Наименование имущества</w:t>
            </w:r>
          </w:p>
        </w:tc>
        <w:tc>
          <w:tcPr>
            <w:tcW w:w="1843" w:type="dxa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Начальная продажная цена, в руб.</w:t>
            </w:r>
          </w:p>
        </w:tc>
        <w:tc>
          <w:tcPr>
            <w:tcW w:w="2268" w:type="dxa"/>
          </w:tcPr>
          <w:p w:rsidR="003064E9" w:rsidRPr="00530F78" w:rsidRDefault="003064E9" w:rsidP="000F079C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Отчет об оценке</w:t>
            </w:r>
          </w:p>
        </w:tc>
      </w:tr>
      <w:tr w:rsidR="003064E9" w:rsidTr="003F0FE4">
        <w:trPr>
          <w:trHeight w:val="1778"/>
        </w:trPr>
        <w:tc>
          <w:tcPr>
            <w:tcW w:w="1142" w:type="dxa"/>
            <w:shd w:val="clear" w:color="auto" w:fill="auto"/>
          </w:tcPr>
          <w:p w:rsidR="003064E9" w:rsidRPr="00AA2D54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Лот №1</w:t>
            </w:r>
          </w:p>
        </w:tc>
        <w:tc>
          <w:tcPr>
            <w:tcW w:w="5225" w:type="dxa"/>
            <w:shd w:val="clear" w:color="auto" w:fill="auto"/>
          </w:tcPr>
          <w:p w:rsidR="003064E9" w:rsidRPr="00AA2D54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 xml:space="preserve">Хозяйственный блок (литера Е), назначение: нежилое, этажность: 1,  общей площадью 907,4 кв.м., кадастровый номер: 14:36:101037:48, год ввода в эксплуатацию: 2006,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 14:36:101037:8, расположенные по адресу: РС(Я), г.Якутск, </w:t>
            </w:r>
            <w:proofErr w:type="spellStart"/>
            <w:r w:rsidRPr="00AA2D54">
              <w:rPr>
                <w:rFonts w:eastAsia="Times New Roman"/>
              </w:rPr>
              <w:t>ул.Очиченко</w:t>
            </w:r>
            <w:proofErr w:type="spellEnd"/>
            <w:r w:rsidRPr="00AA2D54">
              <w:rPr>
                <w:rFonts w:eastAsia="Times New Roman"/>
              </w:rPr>
              <w:t>, 1/1Б</w:t>
            </w:r>
          </w:p>
        </w:tc>
        <w:tc>
          <w:tcPr>
            <w:tcW w:w="1843" w:type="dxa"/>
            <w:shd w:val="clear" w:color="auto" w:fill="auto"/>
          </w:tcPr>
          <w:p w:rsidR="003064E9" w:rsidRPr="00AA2D54" w:rsidRDefault="007F203D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18 2</w:t>
            </w:r>
            <w:r w:rsidR="003064E9" w:rsidRPr="00AA2D54">
              <w:rPr>
                <w:rFonts w:eastAsia="Times New Roman"/>
              </w:rPr>
              <w:t>00 000</w:t>
            </w:r>
          </w:p>
        </w:tc>
        <w:tc>
          <w:tcPr>
            <w:tcW w:w="2268" w:type="dxa"/>
            <w:shd w:val="clear" w:color="auto" w:fill="auto"/>
          </w:tcPr>
          <w:p w:rsidR="00754411" w:rsidRPr="00AA2D54" w:rsidRDefault="00754411" w:rsidP="00754411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№30-2019 от 30.04.2019г</w:t>
            </w:r>
            <w:r w:rsidR="000F079C">
              <w:rPr>
                <w:rFonts w:eastAsia="Times New Roman"/>
              </w:rPr>
              <w:t>.,</w:t>
            </w:r>
          </w:p>
          <w:p w:rsidR="003064E9" w:rsidRPr="00AA2D54" w:rsidRDefault="00AA2D54" w:rsidP="00754411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AA2D54">
              <w:rPr>
                <w:rFonts w:eastAsia="Times New Roman"/>
              </w:rPr>
              <w:t>необход</w:t>
            </w:r>
            <w:r w:rsidR="000F079C">
              <w:rPr>
                <w:rFonts w:eastAsia="Times New Roman"/>
              </w:rPr>
              <w:t>имо</w:t>
            </w:r>
            <w:r w:rsidRPr="00AA2D54">
              <w:rPr>
                <w:rFonts w:eastAsia="Times New Roman"/>
              </w:rPr>
              <w:t xml:space="preserve"> устранить наруш</w:t>
            </w:r>
            <w:r>
              <w:rPr>
                <w:rFonts w:eastAsia="Times New Roman"/>
              </w:rPr>
              <w:t>ение</w:t>
            </w:r>
            <w:r w:rsidRPr="00AA2D54">
              <w:rPr>
                <w:rFonts w:eastAsia="Times New Roman"/>
              </w:rPr>
              <w:t xml:space="preserve"> охранн</w:t>
            </w:r>
            <w:r>
              <w:rPr>
                <w:rFonts w:eastAsia="Times New Roman"/>
              </w:rPr>
              <w:t>ых</w:t>
            </w:r>
            <w:r w:rsidRPr="00AA2D54">
              <w:rPr>
                <w:rFonts w:eastAsia="Times New Roman"/>
              </w:rPr>
              <w:t xml:space="preserve"> зон газопровода.</w:t>
            </w:r>
          </w:p>
        </w:tc>
      </w:tr>
      <w:tr w:rsidR="003064E9" w:rsidTr="003F0FE4">
        <w:trPr>
          <w:trHeight w:val="570"/>
        </w:trPr>
        <w:tc>
          <w:tcPr>
            <w:tcW w:w="1142" w:type="dxa"/>
            <w:shd w:val="clear" w:color="auto" w:fill="auto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5225" w:type="dxa"/>
            <w:shd w:val="clear" w:color="auto" w:fill="auto"/>
          </w:tcPr>
          <w:p w:rsidR="003064E9" w:rsidRPr="00530F78" w:rsidRDefault="003064E9" w:rsidP="00024536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color w:val="000000"/>
              </w:rPr>
              <w:t xml:space="preserve">Септик, размеры в метрах 5х1,8х9,5, емкость 85,5 куб. м.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>, 1/1а</w:t>
            </w:r>
          </w:p>
        </w:tc>
        <w:tc>
          <w:tcPr>
            <w:tcW w:w="1843" w:type="dxa"/>
            <w:shd w:val="clear" w:color="auto" w:fill="auto"/>
          </w:tcPr>
          <w:p w:rsidR="003064E9" w:rsidRPr="00530F78" w:rsidRDefault="007F203D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928 800</w:t>
            </w:r>
          </w:p>
        </w:tc>
        <w:tc>
          <w:tcPr>
            <w:tcW w:w="2268" w:type="dxa"/>
            <w:shd w:val="clear" w:color="auto" w:fill="auto"/>
          </w:tcPr>
          <w:p w:rsidR="003064E9" w:rsidRPr="003064E9" w:rsidRDefault="003064E9" w:rsidP="00024536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3064E9">
              <w:t>12/Х-4985/3/01/2017 от 30.10.2017г.</w:t>
            </w:r>
          </w:p>
        </w:tc>
      </w:tr>
      <w:tr w:rsidR="003064E9" w:rsidTr="003F0FE4">
        <w:trPr>
          <w:trHeight w:val="565"/>
        </w:trPr>
        <w:tc>
          <w:tcPr>
            <w:tcW w:w="1142" w:type="dxa"/>
            <w:shd w:val="clear" w:color="auto" w:fill="auto"/>
          </w:tcPr>
          <w:p w:rsidR="003064E9" w:rsidRPr="00530F78" w:rsidRDefault="003064E9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3064E9" w:rsidRPr="00530F78" w:rsidRDefault="003064E9" w:rsidP="00024536">
            <w:pPr>
              <w:rPr>
                <w:color w:val="000000"/>
              </w:rPr>
            </w:pPr>
            <w:r w:rsidRPr="00530F78">
              <w:rPr>
                <w:color w:val="000000"/>
              </w:rPr>
              <w:t xml:space="preserve">Морозильная камера, размеры в метрах 13,4х5,5. Вместимость 40 тонн.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 xml:space="preserve">, 1/1а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4E9" w:rsidRPr="00530F78" w:rsidRDefault="007F203D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265 860</w:t>
            </w:r>
          </w:p>
        </w:tc>
        <w:tc>
          <w:tcPr>
            <w:tcW w:w="2268" w:type="dxa"/>
            <w:shd w:val="clear" w:color="auto" w:fill="auto"/>
          </w:tcPr>
          <w:p w:rsidR="003064E9" w:rsidRPr="007B5815" w:rsidRDefault="007B5815" w:rsidP="00024536">
            <w:pPr>
              <w:jc w:val="center"/>
            </w:pPr>
            <w:r>
              <w:t>№13928 от 23.04.2018г.</w:t>
            </w:r>
          </w:p>
        </w:tc>
      </w:tr>
      <w:tr w:rsidR="003064E9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3064E9" w:rsidRPr="00530F78" w:rsidRDefault="0017046B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3064E9" w:rsidRDefault="0017046B" w:rsidP="00170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Банка "</w:t>
            </w:r>
            <w:proofErr w:type="spellStart"/>
            <w:r>
              <w:rPr>
                <w:color w:val="000000"/>
              </w:rPr>
              <w:t>Таатта</w:t>
            </w:r>
            <w:proofErr w:type="spellEnd"/>
            <w:r>
              <w:rPr>
                <w:color w:val="000000"/>
              </w:rPr>
              <w:t>" АО в размере 168 011,79 рублей, включенная в реестр требований кредиторов Банка "</w:t>
            </w:r>
            <w:proofErr w:type="spellStart"/>
            <w:r>
              <w:rPr>
                <w:color w:val="000000"/>
              </w:rPr>
              <w:t>Таатта</w:t>
            </w:r>
            <w:proofErr w:type="spellEnd"/>
            <w:r>
              <w:rPr>
                <w:color w:val="000000"/>
              </w:rPr>
              <w:t>" АО на основании определения Арбитражного суда РС(Я) от 20.0</w:t>
            </w:r>
            <w:r w:rsidR="0053036C">
              <w:rPr>
                <w:color w:val="000000"/>
              </w:rPr>
              <w:t>9.2019г. по делу №А58-6327/2019.</w:t>
            </w:r>
          </w:p>
          <w:p w:rsidR="005D7DEA" w:rsidRPr="0017046B" w:rsidRDefault="005D7DEA" w:rsidP="0017046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4E9" w:rsidRPr="0017046B" w:rsidRDefault="005733F9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151 210</w:t>
            </w:r>
          </w:p>
        </w:tc>
        <w:tc>
          <w:tcPr>
            <w:tcW w:w="2268" w:type="dxa"/>
            <w:shd w:val="clear" w:color="auto" w:fill="auto"/>
          </w:tcPr>
          <w:p w:rsidR="003064E9" w:rsidRPr="00D72986" w:rsidRDefault="003064E9" w:rsidP="00024536">
            <w:pPr>
              <w:jc w:val="center"/>
              <w:rPr>
                <w:b/>
                <w:color w:val="000000"/>
              </w:rPr>
            </w:pPr>
          </w:p>
        </w:tc>
      </w:tr>
      <w:tr w:rsidR="0017046B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17046B" w:rsidRDefault="0017046B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Лот №5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17046B" w:rsidRDefault="0017046B" w:rsidP="00170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ООО "Макс Групп" в размере 4 945 000 рублей (исполнительный лист серия ФС №026446217, выданный на основании постановления Четвертого арбитражного апелляционного суда от 26 февраля 2019 года по делу №А58-3479/2015</w:t>
            </w:r>
            <w:r w:rsidR="0053036C">
              <w:rPr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046B" w:rsidRPr="0017046B" w:rsidRDefault="005D7DEA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4 450 500</w:t>
            </w:r>
          </w:p>
        </w:tc>
        <w:tc>
          <w:tcPr>
            <w:tcW w:w="2268" w:type="dxa"/>
            <w:shd w:val="clear" w:color="auto" w:fill="auto"/>
          </w:tcPr>
          <w:p w:rsidR="0017046B" w:rsidRPr="005733F9" w:rsidRDefault="0017046B" w:rsidP="00024536">
            <w:pPr>
              <w:jc w:val="center"/>
              <w:rPr>
                <w:color w:val="000000"/>
              </w:rPr>
            </w:pPr>
          </w:p>
        </w:tc>
      </w:tr>
      <w:tr w:rsidR="00E244B2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E244B2" w:rsidRDefault="00E244B2" w:rsidP="00024536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244B2" w:rsidRDefault="00E244B2" w:rsidP="00024536">
            <w:pPr>
              <w:jc w:val="both"/>
              <w:rPr>
                <w:color w:val="000000"/>
              </w:rPr>
            </w:pPr>
            <w:r w:rsidRPr="0059500D">
              <w:t>Право требования</w:t>
            </w:r>
            <w:r>
              <w:t xml:space="preserve"> по исполнительному документу ФС 029881287, выданному на основании решения Арбитражного суда РС(Я) от 20.09.2019г. по делу №А58-7988/2019, или </w:t>
            </w:r>
            <w:r w:rsidRPr="0059500D">
              <w:t>транспортно</w:t>
            </w:r>
            <w:r>
              <w:t xml:space="preserve">е средство: </w:t>
            </w:r>
            <w:r w:rsidRPr="00D02A18">
              <w:rPr>
                <w:b/>
              </w:rPr>
              <w:t>Специальный автомобиль 2967-0000010-08, 2007г.в.,</w:t>
            </w:r>
            <w:r>
              <w:t>ц</w:t>
            </w:r>
            <w:r w:rsidRPr="0081598F">
              <w:t>вет песочный по ГОСТ Р52508-05, мощность мотора 140.00 (103.00), модель №, тип двигателя 40522</w:t>
            </w:r>
            <w:r w:rsidRPr="0081598F">
              <w:rPr>
                <w:lang w:val="en-US"/>
              </w:rPr>
              <w:t>R</w:t>
            </w:r>
            <w:r w:rsidRPr="0081598F">
              <w:t xml:space="preserve">, 73102906, бензиновый, рабочий объем 2464 куб.см., кузов № 27520070328855, </w:t>
            </w:r>
            <w:proofErr w:type="spellStart"/>
            <w:r w:rsidRPr="0081598F">
              <w:t>гос.рег.знак</w:t>
            </w:r>
            <w:proofErr w:type="spellEnd"/>
            <w:r w:rsidRPr="0081598F">
              <w:rPr>
                <w:lang w:val="en-US"/>
              </w:rPr>
              <w:t>K</w:t>
            </w:r>
            <w:r w:rsidRPr="0081598F">
              <w:t>376</w:t>
            </w:r>
            <w:r w:rsidRPr="0081598F">
              <w:rPr>
                <w:lang w:val="en-US"/>
              </w:rPr>
              <w:t>KO</w:t>
            </w:r>
            <w:r w:rsidRPr="0081598F">
              <w:t>14 ПТС №62ММ721268</w:t>
            </w:r>
            <w:r w:rsidRPr="0058524D">
              <w:t>, в</w:t>
            </w:r>
            <w:r w:rsidRPr="0059500D">
              <w:t xml:space="preserve"> объеме и условиях, которые существуют к моменту перехода права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4B2" w:rsidRDefault="00E244B2" w:rsidP="00024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157 000</w:t>
            </w:r>
          </w:p>
        </w:tc>
        <w:tc>
          <w:tcPr>
            <w:tcW w:w="2268" w:type="dxa"/>
            <w:shd w:val="clear" w:color="auto" w:fill="auto"/>
          </w:tcPr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</w:rPr>
              <w:t>№37/2019 от 30.05.2019г</w:t>
            </w: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  <w:p w:rsidR="00E244B2" w:rsidRDefault="00E244B2" w:rsidP="00024536">
            <w:pPr>
              <w:jc w:val="center"/>
              <w:rPr>
                <w:b/>
                <w:color w:val="000000"/>
              </w:rPr>
            </w:pPr>
          </w:p>
        </w:tc>
      </w:tr>
      <w:tr w:rsidR="00E244B2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E244B2" w:rsidRDefault="00E244B2" w:rsidP="00024536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E244B2" w:rsidRPr="0059500D" w:rsidRDefault="00E244B2" w:rsidP="00D15A4E">
            <w:pPr>
              <w:ind w:firstLine="14"/>
              <w:jc w:val="both"/>
            </w:pPr>
            <w:r w:rsidRPr="0058524D">
              <w:t xml:space="preserve">Право требованияна основании </w:t>
            </w:r>
            <w:r w:rsidR="00D15A4E">
              <w:t>Решения</w:t>
            </w:r>
            <w:r>
              <w:t xml:space="preserve"> Арбитражного суда РС(Я) от 19.11.2019г. по делу №А58-7565/</w:t>
            </w:r>
            <w:r w:rsidRPr="003F0FE4">
              <w:t>2019</w:t>
            </w:r>
            <w:r w:rsidR="00D15A4E" w:rsidRPr="003F0FE4">
              <w:t>в</w:t>
            </w:r>
            <w:r w:rsidR="00D15A4E" w:rsidRPr="0059500D">
              <w:t xml:space="preserve"> объеме и </w:t>
            </w:r>
            <w:r w:rsidR="00D15A4E">
              <w:t xml:space="preserve">на </w:t>
            </w:r>
            <w:r w:rsidR="00D15A4E" w:rsidRPr="0059500D">
              <w:t xml:space="preserve">условиях, которые существуют к моменту </w:t>
            </w:r>
            <w:r w:rsidR="00D15A4E">
              <w:t xml:space="preserve">продажи и </w:t>
            </w:r>
            <w:r w:rsidR="00D15A4E" w:rsidRPr="0059500D">
              <w:t>перехода права</w:t>
            </w:r>
            <w:r w:rsidR="00D15A4E">
              <w:t>,</w:t>
            </w:r>
            <w:r w:rsidRPr="003F0FE4">
              <w:t xml:space="preserve">или </w:t>
            </w:r>
            <w:r w:rsidR="00D15A4E" w:rsidRPr="003F0FE4">
              <w:t xml:space="preserve">непосредственно истребованное к дате продажи имущество: </w:t>
            </w:r>
            <w:r w:rsidRPr="003F0FE4">
              <w:rPr>
                <w:b/>
              </w:rPr>
              <w:t>катер</w:t>
            </w:r>
            <w:proofErr w:type="spellStart"/>
            <w:r w:rsidRPr="00D02A18">
              <w:rPr>
                <w:b/>
                <w:lang w:val="en-US"/>
              </w:rPr>
              <w:t>BeneteauAntares</w:t>
            </w:r>
            <w:proofErr w:type="spellEnd"/>
            <w:r w:rsidRPr="00D02A18">
              <w:rPr>
                <w:b/>
              </w:rPr>
              <w:t xml:space="preserve"> 8.80, 2013г.в.,</w:t>
            </w:r>
            <w:r>
              <w:t>заводской</w:t>
            </w:r>
            <w:r w:rsidRPr="00FA12AB">
              <w:t xml:space="preserve"> №</w:t>
            </w:r>
            <w:r>
              <w:rPr>
                <w:lang w:val="en-US"/>
              </w:rPr>
              <w:t>FR</w:t>
            </w:r>
            <w:r w:rsidRPr="00FA12AB">
              <w:t>-</w:t>
            </w:r>
            <w:r>
              <w:rPr>
                <w:lang w:val="en-US"/>
              </w:rPr>
              <w:t>SPBDA</w:t>
            </w:r>
            <w:r w:rsidRPr="00FA12AB">
              <w:t>127</w:t>
            </w:r>
            <w:r>
              <w:rPr>
                <w:lang w:val="en-US"/>
              </w:rPr>
              <w:t>A</w:t>
            </w:r>
            <w:r w:rsidRPr="00FA12AB">
              <w:t>313</w:t>
            </w:r>
            <w:r>
              <w:t>, в комплектации: р</w:t>
            </w:r>
            <w:r w:rsidRPr="003B304F">
              <w:t>адар</w:t>
            </w:r>
            <w:r w:rsidRPr="003B304F">
              <w:rPr>
                <w:lang w:val="en-US"/>
              </w:rPr>
              <w:t>GARMIN</w:t>
            </w:r>
            <w:r w:rsidRPr="00A05ABE">
              <w:t xml:space="preserve"> 18</w:t>
            </w:r>
            <w:r w:rsidRPr="003B304F">
              <w:rPr>
                <w:lang w:val="en-US"/>
              </w:rPr>
              <w:t>HD</w:t>
            </w:r>
            <w:r>
              <w:t xml:space="preserve">, </w:t>
            </w:r>
            <w:proofErr w:type="spellStart"/>
            <w:r>
              <w:t>с</w:t>
            </w:r>
            <w:r w:rsidRPr="003B304F">
              <w:t>алонныйотопитель</w:t>
            </w:r>
            <w:r w:rsidRPr="003B304F">
              <w:rPr>
                <w:lang w:val="en-US"/>
              </w:rPr>
              <w:t>WebastoAirTopEvo</w:t>
            </w:r>
            <w:proofErr w:type="spellEnd"/>
            <w:r w:rsidRPr="00A05ABE">
              <w:t xml:space="preserve"> 3900 </w:t>
            </w:r>
            <w:r w:rsidRPr="003B304F">
              <w:rPr>
                <w:lang w:val="en-US"/>
              </w:rPr>
              <w:t>Comfort</w:t>
            </w:r>
            <w:proofErr w:type="spellStart"/>
            <w:r w:rsidRPr="003B304F">
              <w:t>спанельюотопления</w:t>
            </w:r>
            <w:r w:rsidRPr="003B304F">
              <w:rPr>
                <w:lang w:val="en-US"/>
              </w:rPr>
              <w:t>MultiComfort</w:t>
            </w:r>
            <w:proofErr w:type="spellEnd"/>
            <w:r>
              <w:t>, л</w:t>
            </w:r>
            <w:r w:rsidRPr="003B304F">
              <w:t xml:space="preserve">одочный мотор </w:t>
            </w:r>
            <w:proofErr w:type="spellStart"/>
            <w:r w:rsidRPr="003B304F">
              <w:rPr>
                <w:lang w:val="en-US"/>
              </w:rPr>
              <w:t>YamahaF</w:t>
            </w:r>
            <w:proofErr w:type="spellEnd"/>
            <w:r w:rsidRPr="003B304F">
              <w:t>350</w:t>
            </w:r>
            <w:r w:rsidRPr="003B304F">
              <w:rPr>
                <w:lang w:val="en-US"/>
              </w:rPr>
              <w:t>BETU</w:t>
            </w:r>
            <w:r w:rsidRPr="003B304F">
              <w:t xml:space="preserve"> заводской №6</w:t>
            </w:r>
            <w:r w:rsidRPr="003B304F">
              <w:rPr>
                <w:lang w:val="en-US"/>
              </w:rPr>
              <w:t>AW</w:t>
            </w:r>
            <w:r>
              <w:t xml:space="preserve">-1008038, </w:t>
            </w:r>
            <w:proofErr w:type="spellStart"/>
            <w:r>
              <w:t>к</w:t>
            </w:r>
            <w:r w:rsidRPr="003B304F">
              <w:t>артплоутер</w:t>
            </w:r>
            <w:proofErr w:type="spellEnd"/>
            <w:r w:rsidRPr="003B304F">
              <w:rPr>
                <w:lang w:val="en-US"/>
              </w:rPr>
              <w:t>GARMIN</w:t>
            </w:r>
            <w:r w:rsidRPr="003B304F">
              <w:t xml:space="preserve"> 5012</w:t>
            </w:r>
            <w: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4B2" w:rsidRPr="00A05ABE" w:rsidRDefault="00E244B2" w:rsidP="00024536">
            <w:pPr>
              <w:jc w:val="center"/>
              <w:rPr>
                <w:color w:val="000000"/>
              </w:rPr>
            </w:pPr>
            <w:r w:rsidRPr="00A05ABE">
              <w:rPr>
                <w:color w:val="000000"/>
              </w:rPr>
              <w:t>4 407 100</w:t>
            </w:r>
          </w:p>
        </w:tc>
        <w:tc>
          <w:tcPr>
            <w:tcW w:w="2268" w:type="dxa"/>
            <w:shd w:val="clear" w:color="auto" w:fill="auto"/>
          </w:tcPr>
          <w:p w:rsidR="00E244B2" w:rsidRDefault="00E244B2" w:rsidP="00024536">
            <w:pPr>
              <w:jc w:val="center"/>
              <w:rPr>
                <w:rFonts w:eastAsia="Times New Roman"/>
              </w:rPr>
            </w:pPr>
          </w:p>
          <w:p w:rsidR="00E244B2" w:rsidRDefault="00E244B2" w:rsidP="00024536">
            <w:pPr>
              <w:jc w:val="center"/>
              <w:rPr>
                <w:rFonts w:eastAsia="Times New Roman"/>
              </w:rPr>
            </w:pPr>
          </w:p>
          <w:p w:rsidR="00E244B2" w:rsidRPr="00A05ABE" w:rsidRDefault="00E244B2" w:rsidP="000245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№3</w:t>
            </w:r>
            <w:r w:rsidRPr="00A05ABE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/2019 от 31.05.2019г</w:t>
            </w:r>
          </w:p>
        </w:tc>
      </w:tr>
      <w:tr w:rsidR="00783D2A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783D2A" w:rsidRPr="00B02926" w:rsidRDefault="00783D2A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Лот №8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783D2A" w:rsidRPr="00B02926" w:rsidRDefault="00CD5035" w:rsidP="0053036C">
            <w:pPr>
              <w:jc w:val="both"/>
            </w:pPr>
            <w:r w:rsidRPr="00B02926">
              <w:t xml:space="preserve">Право требования, возникшее на основании определения Арбитражного суда РС(Я) от 08.11.2017г. по делу №А58-3479/2015, об истребовании </w:t>
            </w:r>
            <w:r w:rsidR="0053036C" w:rsidRPr="00B02926">
              <w:t xml:space="preserve">товарно-материальных ценностей </w:t>
            </w:r>
            <w:r w:rsidRPr="00B02926">
              <w:t>от бывшего руководителя ООО "</w:t>
            </w:r>
            <w:proofErr w:type="spellStart"/>
            <w:r w:rsidRPr="00B02926">
              <w:t>Якуталмаз</w:t>
            </w:r>
            <w:proofErr w:type="spellEnd"/>
            <w:r w:rsidRPr="00B02926">
              <w:t xml:space="preserve"> </w:t>
            </w:r>
            <w:proofErr w:type="spellStart"/>
            <w:r w:rsidRPr="00B02926">
              <w:t>Компани</w:t>
            </w:r>
            <w:proofErr w:type="spellEnd"/>
            <w:r w:rsidRPr="00B02926">
              <w:t>" Максимова Александра Васильевича.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3D2A" w:rsidRPr="00B02926" w:rsidRDefault="00CD5035" w:rsidP="00024536">
            <w:pPr>
              <w:jc w:val="center"/>
            </w:pPr>
            <w:r w:rsidRPr="00B02926">
              <w:t>5 346 400</w:t>
            </w:r>
          </w:p>
        </w:tc>
        <w:tc>
          <w:tcPr>
            <w:tcW w:w="2268" w:type="dxa"/>
            <w:shd w:val="clear" w:color="auto" w:fill="auto"/>
          </w:tcPr>
          <w:p w:rsidR="00783D2A" w:rsidRPr="00B02926" w:rsidRDefault="00783D2A" w:rsidP="00024536">
            <w:pPr>
              <w:jc w:val="center"/>
              <w:rPr>
                <w:rFonts w:eastAsia="Times New Roman"/>
              </w:rPr>
            </w:pP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№41/2019</w:t>
            </w:r>
          </w:p>
          <w:p w:rsidR="00CD5035" w:rsidRPr="00B02926" w:rsidRDefault="00CD5035" w:rsidP="00024536">
            <w:pPr>
              <w:jc w:val="center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От 03.06.2019г.</w:t>
            </w:r>
          </w:p>
        </w:tc>
      </w:tr>
      <w:tr w:rsidR="0053036C" w:rsidTr="003F0FE4">
        <w:trPr>
          <w:trHeight w:val="265"/>
        </w:trPr>
        <w:tc>
          <w:tcPr>
            <w:tcW w:w="1142" w:type="dxa"/>
            <w:shd w:val="clear" w:color="auto" w:fill="auto"/>
          </w:tcPr>
          <w:p w:rsidR="0053036C" w:rsidRPr="00B02926" w:rsidRDefault="0053036C" w:rsidP="005D7DEA">
            <w:pPr>
              <w:tabs>
                <w:tab w:val="left" w:pos="731"/>
              </w:tabs>
              <w:spacing w:line="234" w:lineRule="auto"/>
              <w:ind w:right="195"/>
              <w:jc w:val="both"/>
              <w:rPr>
                <w:rFonts w:eastAsia="Times New Roman"/>
              </w:rPr>
            </w:pPr>
            <w:r w:rsidRPr="00B02926">
              <w:rPr>
                <w:rFonts w:eastAsia="Times New Roman"/>
              </w:rPr>
              <w:t>Лот №9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3036C" w:rsidRPr="00B02926" w:rsidRDefault="0053036C" w:rsidP="002C5B8B">
            <w:pPr>
              <w:jc w:val="both"/>
            </w:pPr>
            <w:r w:rsidRPr="00B02926">
              <w:t xml:space="preserve">Право требования, возникшее на основании постановления Четвертого арбитражного апелляционного суда от 11.04.2018г. по делу №А58-3479/2015 и </w:t>
            </w:r>
            <w:r w:rsidR="008E1F8B" w:rsidRPr="00B02926">
              <w:t>определения Арбитражного суда РС(Я) от 13.09.2019г. по делу №А58-6327/2018, с Банка "</w:t>
            </w:r>
            <w:proofErr w:type="spellStart"/>
            <w:r w:rsidR="008E1F8B" w:rsidRPr="00B02926">
              <w:t>Таатта</w:t>
            </w:r>
            <w:proofErr w:type="spellEnd"/>
            <w:r w:rsidR="008E1F8B" w:rsidRPr="00B02926">
              <w:t xml:space="preserve">" </w:t>
            </w:r>
            <w:r w:rsidR="00916EE4" w:rsidRPr="00B02926">
              <w:t xml:space="preserve">АО </w:t>
            </w:r>
            <w:r w:rsidR="008E1F8B" w:rsidRPr="00B02926">
              <w:t xml:space="preserve">возврата бриллиантов или денежных средств на сумму 18 624 553,42 руб.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36C" w:rsidRPr="00B02926" w:rsidRDefault="005733F9" w:rsidP="00916EE4">
            <w:pPr>
              <w:jc w:val="center"/>
            </w:pPr>
            <w:r w:rsidRPr="00B02926">
              <w:t>16 762 500</w:t>
            </w:r>
          </w:p>
        </w:tc>
        <w:tc>
          <w:tcPr>
            <w:tcW w:w="2268" w:type="dxa"/>
            <w:shd w:val="clear" w:color="auto" w:fill="auto"/>
          </w:tcPr>
          <w:p w:rsidR="0053036C" w:rsidRPr="00B02926" w:rsidRDefault="0053036C" w:rsidP="00024536">
            <w:pPr>
              <w:jc w:val="center"/>
              <w:rPr>
                <w:rFonts w:eastAsia="Times New Roman"/>
              </w:rPr>
            </w:pPr>
          </w:p>
          <w:p w:rsidR="00916EE4" w:rsidRPr="00B02926" w:rsidRDefault="00916EE4" w:rsidP="000F079C">
            <w:pPr>
              <w:jc w:val="center"/>
              <w:rPr>
                <w:rFonts w:eastAsia="Times New Roman"/>
              </w:rPr>
            </w:pPr>
          </w:p>
        </w:tc>
      </w:tr>
    </w:tbl>
    <w:p w:rsidR="003064E9" w:rsidRDefault="003064E9" w:rsidP="003064E9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14" w:lineRule="exact"/>
        <w:ind w:firstLine="567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Начальная цена Имущества, выставляемого на продажу, установлена собранием кредиторов на основании рыночной стоимости этого Имущества, определенной в соответствии с отчетами независимых оценщиков</w:t>
      </w:r>
      <w:r w:rsidR="007F203D" w:rsidRPr="00B02926">
        <w:rPr>
          <w:rFonts w:eastAsia="Times New Roman"/>
          <w:sz w:val="24"/>
          <w:szCs w:val="24"/>
        </w:rPr>
        <w:t>,</w:t>
      </w:r>
      <w:r w:rsidR="005D7DEA" w:rsidRPr="003F0FE4">
        <w:rPr>
          <w:rFonts w:eastAsia="Times New Roman"/>
          <w:sz w:val="24"/>
          <w:szCs w:val="24"/>
        </w:rPr>
        <w:t>предложения</w:t>
      </w:r>
      <w:r w:rsidR="007F203D" w:rsidRPr="003F0FE4">
        <w:rPr>
          <w:rFonts w:eastAsia="Times New Roman"/>
          <w:sz w:val="24"/>
          <w:szCs w:val="24"/>
        </w:rPr>
        <w:t>м</w:t>
      </w:r>
      <w:r w:rsidR="00D15A4E" w:rsidRPr="003F0FE4">
        <w:rPr>
          <w:rFonts w:eastAsia="Times New Roman"/>
          <w:sz w:val="24"/>
          <w:szCs w:val="24"/>
        </w:rPr>
        <w:t>и</w:t>
      </w:r>
      <w:r w:rsidR="005D7DEA" w:rsidRPr="003F0FE4">
        <w:rPr>
          <w:rFonts w:eastAsia="Times New Roman"/>
          <w:sz w:val="24"/>
          <w:szCs w:val="24"/>
        </w:rPr>
        <w:t xml:space="preserve"> конкурсного управляющего</w:t>
      </w:r>
      <w:r w:rsidRPr="00B02926">
        <w:rPr>
          <w:rFonts w:eastAsia="Times New Roman"/>
          <w:sz w:val="24"/>
          <w:szCs w:val="24"/>
        </w:rPr>
        <w:t>.</w:t>
      </w:r>
    </w:p>
    <w:p w:rsidR="003064E9" w:rsidRDefault="003064E9" w:rsidP="003064E9">
      <w:pPr>
        <w:spacing w:line="247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Организатор торгов.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 качестве организатора торгов выступает конкурсный управляющий или привлекаемая конкурсным управляющим для этих целей специализированная организация, оплата услуг которой осуществляется за счет средств Должника. Указанная организация не должна являться заинтересованным лицом в отношении должника, кредиторов, конкурсного управляющего. Выбор специализированной организации осуществляется конкурсным управляющим самостоятельно.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Организатор торгов выполняет все действия, предусмотренные для организатора торгов, согласно ст.ст. 110, 111, 139, 140 Закона о банкротстве, в частности: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опубликовывает и размещает сообщение о продаже предприятия и сообщение о результатах проведения торгов в газете </w:t>
      </w:r>
      <w:r>
        <w:rPr>
          <w:rFonts w:eastAsia="Times New Roman"/>
          <w:b/>
          <w:bCs/>
          <w:sz w:val="24"/>
          <w:szCs w:val="24"/>
          <w:u w:val="single"/>
        </w:rPr>
        <w:t>«Коммерсант</w:t>
      </w:r>
      <w:r w:rsidR="00080989">
        <w:rPr>
          <w:rFonts w:eastAsia="Times New Roman"/>
          <w:b/>
          <w:bCs/>
          <w:sz w:val="24"/>
          <w:szCs w:val="24"/>
          <w:u w:val="single"/>
        </w:rPr>
        <w:t>Ъ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  <w:u w:val="single"/>
        </w:rPr>
        <w:t>»</w:t>
      </w:r>
      <w:r>
        <w:rPr>
          <w:rFonts w:eastAsia="Times New Roman"/>
          <w:sz w:val="24"/>
          <w:szCs w:val="24"/>
        </w:rPr>
        <w:t>, а также в Едином федеральном реестре сведений о банкротстве;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заключает с заявителями договоры о задатке;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участников торгов;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уведомляет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70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победителя торгов и подписывает протокол о результатах проведения торгов; уведомляет заявителей и участников торгов о результатах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Не позднее, чем за тридцать дней до даты проведения торгов организатор торгов обязан опубликовать сообщение о продаже Имущества в порядке, установленном статьей 28 Закона о банкротстве.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торгов, сделавший извещение, вправе отказаться от проведения аукциона в любое время, но не позднее, чем за три дня до наступления даты его проведения.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3"/>
        </w:numPr>
        <w:tabs>
          <w:tab w:val="left" w:pos="1039"/>
        </w:tabs>
        <w:spacing w:line="236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сообщении и заявке на проведение открытых торгов указываются обязательные сведения, предусмотренные в Законе о банкротстве и в соответствующем регламенте электронной площадки, в частности: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наименование (фамилия, имя, отчество – для физического лица) должника, имущество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– для юридических лиц);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</w: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наименование арбитражного суда, рассматривающего дело о банкротстве, номер дела о банкротстве;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основание для проведения открытых торгов (реквизиты судебного акта арбитражного</w:t>
      </w:r>
    </w:p>
    <w:p w:rsidR="003064E9" w:rsidRDefault="003064E9" w:rsidP="003064E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суда);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сведения об имуществе должника, выставляемого на торги, его составе, характеристиках, описание, порядок ознакомления с имуществом должника;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сведения о форме проведения открытых торгов и форме представления предложений о цене имущества должника;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условия конкурса в случае проведения открытых торгов в форме конкурса;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порядок место, срок и время представления заявок на участие в открытых торгах и предложений о цене имущества должника (даты и время начала и окончания представления указанных заявок и предложений);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порядок оформления участия в торгах, перечень представляемых участниками торгов документов и требования к их оформлению;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размер задатка, сроки и порядок внесения и возврата задатка, реквизиты счетов, на которые вносится задаток;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начальная цена продажи имущества должника;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 величина повышения начальной цены продажи имущества должника ("шаг аукциона") в случае использования открытой формы подачи предложений о цене имущества должника;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н) порядок и критерии определения победителя торгов;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о) дата, время и место проведения результатов открытых торгов;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left="700" w:righ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п) порядок и срок заключения договора купли-продажи имущества должника; р) сроки платежей, реквизиты счетов, на которые вносятся платежи;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с) сведения об организаторе торгов (его почтовый адрес, адрес электронной почты, номер контактного телефона);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т) дата публикации сообщения о проведении открытых торгов в официальном издании, осуществляющем опубликование сведений, предусмотренных Законом о банкротстве, дата размещения такого сообщения на сайте данного официального издания в сети «Интернет».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Заявка подписывается электронной цифровой подписью организатора торгов.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3.5. К заявке на проведение открытых торгов прилагаются проект договора купли-продажи имущества должника и подписанный электронной цифровой подписью организатора торгов проект договора о задатке.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поступления.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3064E9" w:rsidRDefault="003064E9" w:rsidP="003064E9">
      <w:pPr>
        <w:spacing w:line="17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Заявка на проведение открытых торгов и прилагаемые к ней сведения и документы должны быть размещены на электронной площадке в течение одного рабочего дня со дня регистрации такой заявки. Доступ к данной информации предоставляется только лицам, зарегистрированным на электронной площадке.</w:t>
      </w:r>
    </w:p>
    <w:p w:rsidR="003064E9" w:rsidRDefault="003064E9" w:rsidP="003064E9">
      <w:pPr>
        <w:spacing w:line="246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ПРОВЕДЕНИЕ ТОРГОВ В ЭЛЕКТРОННОЙ ФОРМЕ</w:t>
      </w:r>
    </w:p>
    <w:p w:rsidR="003064E9" w:rsidRDefault="003064E9" w:rsidP="003064E9">
      <w:pPr>
        <w:spacing w:line="241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Условия участия в торгах.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Размер задатка для участия в торгах устанавливается в размере </w:t>
      </w:r>
      <w:r>
        <w:rPr>
          <w:rFonts w:eastAsia="Times New Roman"/>
          <w:b/>
          <w:bCs/>
          <w:sz w:val="24"/>
          <w:szCs w:val="24"/>
          <w:u w:val="single"/>
        </w:rPr>
        <w:t>10%</w:t>
      </w:r>
      <w:r>
        <w:rPr>
          <w:rFonts w:eastAsia="Times New Roman"/>
          <w:sz w:val="24"/>
          <w:szCs w:val="24"/>
        </w:rPr>
        <w:t xml:space="preserve"> от начальной цены продажи.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Для участия в открытых торгах заявитель представляет оператору электронной площадки заявку на участие в открытых торгах.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>4.4.1. Заявка на участие в открытых торгах должна содержать: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действительную на день представления заявки на участие в торгах копию выписки из Единого государственного реестра юридических лиц, действительную на день представления заявки на участие в торгах копию выписки из единого государственного реестра индивидуальных предпринимателей,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proofErr w:type="spellStart"/>
      <w:r>
        <w:rPr>
          <w:rFonts w:eastAsia="Times New Roman"/>
          <w:sz w:val="24"/>
          <w:szCs w:val="24"/>
        </w:rPr>
        <w:t>лицавкачествеиндивидуальногопредпринимателя</w:t>
      </w:r>
      <w:proofErr w:type="spellEnd"/>
      <w:r>
        <w:rPr>
          <w:rFonts w:eastAsia="Times New Roman"/>
          <w:sz w:val="24"/>
          <w:szCs w:val="24"/>
        </w:rPr>
        <w:t xml:space="preserve">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является крупной сделкой;</w:t>
      </w:r>
    </w:p>
    <w:p w:rsidR="003064E9" w:rsidRDefault="003064E9" w:rsidP="003064E9">
      <w:pPr>
        <w:spacing w:line="15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3064E9" w:rsidRDefault="003064E9" w:rsidP="003064E9">
      <w:pPr>
        <w:spacing w:line="14" w:lineRule="exact"/>
        <w:ind w:firstLine="708"/>
        <w:jc w:val="both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 участии  в капитале заявителя,  арбитражного  управляющего, а</w:t>
      </w:r>
      <w:r w:rsidR="007646D7">
        <w:rPr>
          <w:rFonts w:eastAsia="Times New Roman"/>
          <w:sz w:val="24"/>
          <w:szCs w:val="24"/>
        </w:rPr>
        <w:t xml:space="preserve"> также сведения о заявителе, </w:t>
      </w:r>
      <w:r>
        <w:rPr>
          <w:rFonts w:eastAsia="Times New Roman"/>
          <w:sz w:val="24"/>
          <w:szCs w:val="24"/>
        </w:rPr>
        <w:t>са</w:t>
      </w:r>
      <w:r w:rsidR="007646D7">
        <w:rPr>
          <w:rFonts w:eastAsia="Times New Roman"/>
          <w:sz w:val="24"/>
          <w:szCs w:val="24"/>
        </w:rPr>
        <w:t xml:space="preserve">морегулируемой организации арбитражных управляющих, членом </w:t>
      </w:r>
      <w:r>
        <w:rPr>
          <w:rFonts w:eastAsia="Times New Roman"/>
          <w:sz w:val="24"/>
          <w:szCs w:val="24"/>
        </w:rPr>
        <w:t>илируководителем которой является арбитражный управляющий.</w:t>
      </w:r>
    </w:p>
    <w:p w:rsidR="003064E9" w:rsidRDefault="003064E9" w:rsidP="003064E9">
      <w:pPr>
        <w:spacing w:line="12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Оператор электронной площадки в течение двух часов с момента представления заявки на участие в торгах регистрирует представленную заявку в журнале заявок на участие в торгах, </w:t>
      </w:r>
      <w:r>
        <w:rPr>
          <w:rFonts w:eastAsia="Times New Roman"/>
          <w:sz w:val="24"/>
          <w:szCs w:val="24"/>
        </w:rPr>
        <w:lastRenderedPageBreak/>
        <w:t>присвоив заявке порядковый номер в указанном журнале. Оператор электронной площадки в день регистрации заявки направляет участнику электронной площадки, подавшему заявку, подтверждение регистрации заявки с указанием порядкового номера, даты и точного времени представления заявки.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 В случае отзыва в установленном порядке заявки до даты окончания приема заявок поступивший задаток подлежит возврату в срок не позднее, чем пять дней со дня поступления организатору торгов сообщения об отзыве заявки.</w:t>
      </w:r>
    </w:p>
    <w:p w:rsidR="003064E9" w:rsidRDefault="003064E9" w:rsidP="003064E9">
      <w:pPr>
        <w:spacing w:line="250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Допуск заявителей к участию в открытых торгах.</w:t>
      </w:r>
    </w:p>
    <w:p w:rsidR="003064E9" w:rsidRDefault="003064E9" w:rsidP="003064E9">
      <w:pPr>
        <w:spacing w:line="8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Организатор торгов в течение пяти рабочих дней с даты поступления заявок от оператора (но не позднее даты начала торгов) принимает решение о допуске/отказе в допуске к участию в торгах участников электронной площадки, подавших заявки. Для этого организатор торгов, заполняет на электронной площадке специальную форму решения о допуске/отказе в допуске к участию в торгах относительно каждой зарегистрированной заявки.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Решение об отказе в допуске заявителя к участию в торгах принимается в случае, если:</w:t>
      </w:r>
    </w:p>
    <w:p w:rsidR="003064E9" w:rsidRDefault="003064E9" w:rsidP="003064E9">
      <w:pPr>
        <w:spacing w:line="13" w:lineRule="exact"/>
        <w:ind w:firstLine="567"/>
        <w:jc w:val="both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08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заявка на участие в торгах не соответствует требованиям, установленным настоящим Положением;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90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4"/>
        </w:numPr>
        <w:tabs>
          <w:tab w:val="left" w:pos="1066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3064E9" w:rsidRDefault="003064E9" w:rsidP="003064E9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впризнании его участником торгов с указанием причин отказа с приложением копии протокола об определении участников торгов.</w:t>
      </w:r>
    </w:p>
    <w:p w:rsidR="003064E9" w:rsidRDefault="003064E9" w:rsidP="003064E9">
      <w:pPr>
        <w:spacing w:line="249" w:lineRule="exact"/>
        <w:rPr>
          <w:sz w:val="20"/>
          <w:szCs w:val="20"/>
        </w:rPr>
      </w:pPr>
    </w:p>
    <w:p w:rsidR="003064E9" w:rsidRDefault="003064E9" w:rsidP="003064E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Порядок проведения торгов.</w:t>
      </w:r>
    </w:p>
    <w:p w:rsidR="003064E9" w:rsidRDefault="003064E9" w:rsidP="003064E9">
      <w:pPr>
        <w:spacing w:line="7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Открытые торги проводятся путем повышения начальной цены продажи на величину, кратную величине "шага аукциона". Шаг аукциона равен </w:t>
      </w:r>
      <w:r>
        <w:rPr>
          <w:rFonts w:eastAsia="Times New Roman"/>
          <w:b/>
          <w:bCs/>
          <w:sz w:val="24"/>
          <w:szCs w:val="24"/>
        </w:rPr>
        <w:t>5%</w:t>
      </w:r>
      <w:r>
        <w:rPr>
          <w:rFonts w:eastAsia="Times New Roman"/>
          <w:sz w:val="24"/>
          <w:szCs w:val="24"/>
        </w:rPr>
        <w:t xml:space="preserve"> от начальной стоимости лота.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и не более тридцати минут после представления последнего предложения о цене имущества должника. Если в течение указанного </w:t>
      </w:r>
      <w:r>
        <w:rPr>
          <w:rFonts w:eastAsia="Times New Roman"/>
          <w:sz w:val="24"/>
          <w:szCs w:val="24"/>
        </w:rPr>
        <w:lastRenderedPageBreak/>
        <w:t>времени ни одного предложения о более высокой цене имущества должника не было представлено, открытые торги автоматически, при помощи программных и технических средств электронной площадки завершаются.</w:t>
      </w:r>
    </w:p>
    <w:p w:rsidR="003064E9" w:rsidRDefault="003064E9" w:rsidP="003064E9">
      <w:pPr>
        <w:spacing w:line="16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Во время проведения открытых торгов оператор электронной площадки отклоняет предложение о цене имущества должника в момент его поступления, если оно не соответствует положениям настоящего раздела.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Победителем открытых торгов признается участник торгов, предложивший максимальную цену имущества должника, и внесший задаток.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Оператор электронной площадки рассматривает предложения участников торгов о цене имущества должника и определяет победителя открытых торгов. В случае если была предложена цена имущества должника, равная цене имущества должника, предложенной другим</w:t>
      </w:r>
    </w:p>
    <w:p w:rsidR="003064E9" w:rsidRDefault="003064E9" w:rsidP="003064E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(другими) участником (участниками) торгов, представленными признается предложение о цене имущества должника, поступившее ранее других предложений.</w:t>
      </w:r>
    </w:p>
    <w:p w:rsidR="003064E9" w:rsidRDefault="003064E9" w:rsidP="003064E9">
      <w:pPr>
        <w:spacing w:line="335" w:lineRule="exact"/>
        <w:rPr>
          <w:sz w:val="20"/>
          <w:szCs w:val="20"/>
        </w:rPr>
      </w:pPr>
    </w:p>
    <w:p w:rsidR="003064E9" w:rsidRDefault="003064E9" w:rsidP="006F54C4">
      <w:pPr>
        <w:spacing w:line="234" w:lineRule="auto"/>
        <w:ind w:left="3120" w:right="420" w:hanging="19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Порядок подведения результатов проведения открытых торгов и признания открытых торгов несостоявшимися</w:t>
      </w: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По результатам проведения открытых торгов оператор электронной площадки с помощью программных средств электронной площадки </w:t>
      </w:r>
      <w:r w:rsidRPr="00EC273B">
        <w:rPr>
          <w:rFonts w:eastAsia="Times New Roman"/>
          <w:sz w:val="24"/>
          <w:szCs w:val="24"/>
        </w:rPr>
        <w:t>не позднее тридцати минут</w:t>
      </w:r>
      <w:r>
        <w:rPr>
          <w:rFonts w:eastAsia="Times New Roman"/>
          <w:sz w:val="24"/>
          <w:szCs w:val="24"/>
        </w:rPr>
        <w:t xml:space="preserve">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протоколе о результатах проведения открытых торгов указываются: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</w:r>
    </w:p>
    <w:p w:rsidR="003064E9" w:rsidRDefault="003064E9" w:rsidP="003064E9">
      <w:pPr>
        <w:spacing w:line="16" w:lineRule="exact"/>
        <w:rPr>
          <w:sz w:val="20"/>
          <w:szCs w:val="20"/>
        </w:rPr>
      </w:pPr>
    </w:p>
    <w:p w:rsidR="003064E9" w:rsidRDefault="003064E9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7.5. В случае если не были представлены заявки на участие торгах или к участию в торгах был допущен только один участник, организатор торгов принимает решение о признании торгов несостоявшимися. Задаток участника возвращается в течение пяти </w:t>
      </w:r>
      <w:r w:rsidRPr="00EC273B">
        <w:rPr>
          <w:rFonts w:eastAsia="Times New Roman"/>
          <w:sz w:val="24"/>
          <w:szCs w:val="24"/>
        </w:rPr>
        <w:t>рабочих</w:t>
      </w:r>
      <w:r>
        <w:rPr>
          <w:rFonts w:eastAsia="Times New Roman"/>
          <w:sz w:val="24"/>
          <w:szCs w:val="24"/>
        </w:rPr>
        <w:t xml:space="preserve"> дней после признания торгов несостоявшимися.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Если к участию в торгах был допущен только один участник, заявка которого на участие в торгах содержат предложение о цене имущества должника не ниже установленной начальной цены имущества должника, договор купли-продажи заключается с этим участникам торгов в соответствии с представленным им предложением о цене имущества должника.</w:t>
      </w:r>
    </w:p>
    <w:p w:rsidR="003064E9" w:rsidRDefault="003064E9" w:rsidP="003064E9">
      <w:pPr>
        <w:spacing w:line="18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В течение пяти дней от даты подписания протокола о результатах проведения открытых торгов,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3064E9" w:rsidRDefault="003064E9" w:rsidP="003064E9">
      <w:pPr>
        <w:spacing w:line="2" w:lineRule="exact"/>
        <w:rPr>
          <w:sz w:val="20"/>
          <w:szCs w:val="20"/>
        </w:rPr>
      </w:pPr>
    </w:p>
    <w:p w:rsidR="003064E9" w:rsidRDefault="003064E9" w:rsidP="003064E9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отказа или уклонения победителя торгов от подписания данного договора в течение 5 (пяти)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объекта торгов по сравнению с ценой, предложенной другими участниками торгов, за исключением победителя торгов.</w:t>
      </w:r>
    </w:p>
    <w:p w:rsidR="003064E9" w:rsidRDefault="003064E9" w:rsidP="003064E9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Покупатель должен произвести полную оплату по договору купли-продажи в течение тридцати дней с даты подписания договора. Сумма задатка, внесенного победителем торгов, засчитывается в покупную цену. Отсрочка и/или рассрочка оплаты не допускается.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7.7. В случае если первые открытые торги признаны несостоявшимися и договор купли-продажи не заключен с единственным участников торгов, организатор торгов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площадке.</w:t>
      </w:r>
    </w:p>
    <w:p w:rsidR="003064E9" w:rsidRDefault="003064E9" w:rsidP="003064E9">
      <w:pPr>
        <w:spacing w:line="18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7.8. 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numPr>
          <w:ilvl w:val="0"/>
          <w:numId w:val="5"/>
        </w:numPr>
        <w:tabs>
          <w:tab w:val="left" w:pos="20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договора купли-продажи имущества или предприятия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7.9. 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статьей 28 закона о банкротстве, в Едином федеральном реестре сведений о банкротстве, и иных средствах массовой информации, в случае, если в них было опубликовано сообщение о торах. </w:t>
      </w:r>
    </w:p>
    <w:p w:rsidR="003064E9" w:rsidRDefault="003064E9" w:rsidP="003064E9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предприятия.</w:t>
      </w:r>
    </w:p>
    <w:p w:rsidR="003064E9" w:rsidRDefault="003064E9" w:rsidP="003064E9">
      <w:pPr>
        <w:spacing w:line="15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7.10. Если в соответствии с настоящим Положением первые открытые торги признаны несостоявшимися,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7.11. В случае признания первых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проводятся повторные торги в порядке, установленном настоящим Положением с учетом положений пункта 18 статьи 110 Закона о банкротстве.</w:t>
      </w:r>
    </w:p>
    <w:p w:rsidR="003064E9" w:rsidRDefault="003064E9" w:rsidP="003064E9">
      <w:pPr>
        <w:spacing w:line="17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Начальная цена продажи имущества на повторных торгах устанавливается </w:t>
      </w:r>
      <w:r w:rsidRPr="00CA3572">
        <w:rPr>
          <w:rFonts w:eastAsia="Times New Roman"/>
          <w:b/>
          <w:sz w:val="24"/>
          <w:szCs w:val="24"/>
        </w:rPr>
        <w:t xml:space="preserve">на </w:t>
      </w:r>
      <w:r>
        <w:rPr>
          <w:rFonts w:eastAsia="Times New Roman"/>
          <w:b/>
          <w:sz w:val="24"/>
          <w:szCs w:val="24"/>
        </w:rPr>
        <w:t>десять</w:t>
      </w:r>
      <w:r w:rsidRPr="00CA3572">
        <w:rPr>
          <w:rFonts w:eastAsia="Times New Roman"/>
          <w:b/>
          <w:sz w:val="24"/>
          <w:szCs w:val="24"/>
        </w:rPr>
        <w:t xml:space="preserve"> процентов ниже начальной цены продажи имущества</w:t>
      </w:r>
      <w:r>
        <w:rPr>
          <w:rFonts w:eastAsia="Times New Roman"/>
          <w:sz w:val="24"/>
          <w:szCs w:val="24"/>
        </w:rPr>
        <w:t>, установленной в соответствии с Законом о банкротстве на первоначальных торгах.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7.12. При продаже имущества оплата в соответствии с договором купли-продажи должна быть осуществлена покупателем в течение </w:t>
      </w:r>
      <w:r>
        <w:rPr>
          <w:rFonts w:eastAsia="Times New Roman"/>
          <w:sz w:val="24"/>
          <w:szCs w:val="24"/>
          <w:u w:val="single"/>
        </w:rPr>
        <w:t>тридцати</w:t>
      </w:r>
      <w:r>
        <w:rPr>
          <w:rFonts w:eastAsia="Times New Roman"/>
          <w:sz w:val="24"/>
          <w:szCs w:val="24"/>
        </w:rPr>
        <w:t xml:space="preserve"> дней со дня подписания этого договора.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ind w:left="700" w:right="1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Обязательными условиями договора купли-продажи имущества является: сведения об имуществе, его составе, характеристиках, описание имущества; цена продажи имущества; порядок и срок передачи имущества покупателю;</w:t>
      </w:r>
    </w:p>
    <w:p w:rsidR="003064E9" w:rsidRDefault="003064E9" w:rsidP="003064E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наличии или об отсутствии обременения в отношении имущества;</w:t>
      </w: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иные, предусмотренные законодательством Российской Федерации, условия;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Передача имущества конкурсным управляющим и принятие его покупателем осуществляется в </w:t>
      </w:r>
      <w:r w:rsidRPr="00EC273B">
        <w:rPr>
          <w:rFonts w:eastAsia="Times New Roman"/>
          <w:sz w:val="24"/>
          <w:szCs w:val="24"/>
        </w:rPr>
        <w:t xml:space="preserve">течение </w:t>
      </w:r>
      <w:r w:rsidRPr="00EC273B">
        <w:rPr>
          <w:rFonts w:eastAsia="Times New Roman"/>
          <w:sz w:val="24"/>
          <w:szCs w:val="24"/>
          <w:u w:val="single"/>
        </w:rPr>
        <w:t>трех рабочих</w:t>
      </w:r>
      <w:r>
        <w:rPr>
          <w:rFonts w:eastAsia="Times New Roman"/>
          <w:sz w:val="24"/>
          <w:szCs w:val="24"/>
        </w:rPr>
        <w:t xml:space="preserve"> дней после полной оплаты по договору купли-продажи, в соответствии с протоколом торгов, по передаточному акту, подписываемому сторонами и оформляемому в соответствии с законодательством Российской Федерации. </w:t>
      </w:r>
    </w:p>
    <w:p w:rsidR="003064E9" w:rsidRPr="00EC273B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EC273B">
        <w:rPr>
          <w:rFonts w:eastAsia="Times New Roman"/>
          <w:sz w:val="24"/>
          <w:szCs w:val="24"/>
        </w:rPr>
        <w:t>Право собственности на движимое имущество переходит только после полной оплаты.</w:t>
      </w: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>Право собственности на недвижимое имущество переходит покупателю с момента государственной регистрации перехода права собственности.</w:t>
      </w:r>
    </w:p>
    <w:p w:rsidR="003064E9" w:rsidRDefault="003064E9" w:rsidP="003064E9">
      <w:pPr>
        <w:spacing w:line="18" w:lineRule="exact"/>
        <w:rPr>
          <w:sz w:val="20"/>
          <w:szCs w:val="20"/>
        </w:rPr>
      </w:pPr>
    </w:p>
    <w:p w:rsidR="003064E9" w:rsidRDefault="003064E9" w:rsidP="003064E9">
      <w:pPr>
        <w:spacing w:line="248" w:lineRule="exact"/>
        <w:rPr>
          <w:sz w:val="20"/>
          <w:szCs w:val="20"/>
        </w:rPr>
      </w:pPr>
    </w:p>
    <w:p w:rsidR="003064E9" w:rsidRDefault="003064E9" w:rsidP="003064E9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Проведение торгов посредством публичного предложения</w:t>
      </w:r>
    </w:p>
    <w:p w:rsidR="003064E9" w:rsidRDefault="003064E9" w:rsidP="003064E9">
      <w:pPr>
        <w:spacing w:line="65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:rsidR="003064E9" w:rsidRDefault="003064E9" w:rsidP="003064E9">
      <w:pPr>
        <w:spacing w:line="5" w:lineRule="exact"/>
        <w:rPr>
          <w:sz w:val="20"/>
          <w:szCs w:val="20"/>
        </w:rPr>
      </w:pPr>
    </w:p>
    <w:p w:rsidR="003064E9" w:rsidRDefault="003064E9" w:rsidP="003064E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При продаже имущества должника посредством публичного предложения в сообщении</w:t>
      </w:r>
    </w:p>
    <w:p w:rsidR="003064E9" w:rsidRDefault="003064E9" w:rsidP="003064E9">
      <w:pPr>
        <w:spacing w:line="13" w:lineRule="exact"/>
        <w:rPr>
          <w:sz w:val="20"/>
          <w:szCs w:val="20"/>
        </w:rPr>
      </w:pPr>
    </w:p>
    <w:p w:rsidR="003064E9" w:rsidRPr="003B2813" w:rsidRDefault="003064E9" w:rsidP="003064E9">
      <w:pPr>
        <w:numPr>
          <w:ilvl w:val="0"/>
          <w:numId w:val="6"/>
        </w:numPr>
        <w:tabs>
          <w:tab w:val="left" w:pos="189"/>
        </w:tabs>
        <w:spacing w:line="238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проведении торгов наряду со сведениями, предусмотренными статьей 110 Закона о банкротстве,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</w:t>
      </w:r>
      <w:r w:rsidRPr="003B2813">
        <w:rPr>
          <w:rFonts w:eastAsia="Times New Roman"/>
          <w:b/>
          <w:sz w:val="24"/>
          <w:szCs w:val="24"/>
        </w:rPr>
        <w:t xml:space="preserve">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</w:t>
      </w:r>
    </w:p>
    <w:p w:rsidR="005D7DEA" w:rsidRDefault="003064E9" w:rsidP="003064E9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Минимальная цена предложения, по которой может быть продано имущество («ц</w:t>
      </w:r>
      <w:r w:rsidR="005D7DEA">
        <w:rPr>
          <w:rFonts w:eastAsia="Times New Roman"/>
          <w:sz w:val="24"/>
          <w:szCs w:val="24"/>
        </w:rPr>
        <w:t>ена отсечения»):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№1 - не может составлять менее 4 914 000 (четыре миллиона девятьсот четырнадцать)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№2 - не может составлять менее 250 776 (двести пятьдесят тысяч семьсот семьдесят шесть) рублей;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№3 - не может составлять менее 71 782 (семьдесят одна тысяча семьсот восемьдесят два) руб. 20 коп.;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№4 - не может составлять менее 40 826 (сорок тысяч восемьсот двадцать шесть) руб. 70 коп.;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№5 - не может составлять менее 1 201 635 (один миллион двести одна тысяча шестьсот тридцать пять)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№6 - не может составлять менее 42 390 (сорок две тысячи триста девяносто)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№7 - не может составлять менее 1 189 917 (один миллион сто восемьдесят девять тысяч девятьсот семнадцать)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№8- не может составлять менее 1 443 528 (один миллион четыреста сорок три тысячи пятьсот двадцать восемь)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лоту №8- не может составлять менее 4 525 875 (четыре миллиона пятьсот двадцать пять тысяч восемьсот семьдесят пять) рублей.</w:t>
      </w:r>
    </w:p>
    <w:p w:rsidR="00484FF1" w:rsidRDefault="00484FF1" w:rsidP="00484FF1">
      <w:pPr>
        <w:shd w:val="clear" w:color="auto" w:fill="FFFF00"/>
        <w:tabs>
          <w:tab w:val="left" w:pos="189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</w:p>
    <w:p w:rsidR="003064E9" w:rsidRDefault="003064E9" w:rsidP="003F0FE4">
      <w:pPr>
        <w:spacing w:line="18" w:lineRule="exact"/>
        <w:rPr>
          <w:rFonts w:eastAsia="Times New Roman"/>
          <w:sz w:val="24"/>
          <w:szCs w:val="24"/>
        </w:rPr>
      </w:pPr>
    </w:p>
    <w:p w:rsidR="003064E9" w:rsidRDefault="003064E9" w:rsidP="003F0FE4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8.3.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Закона о банкротстве.</w:t>
      </w:r>
    </w:p>
    <w:p w:rsidR="00063AA2" w:rsidRDefault="00063AA2" w:rsidP="00063AA2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8.4.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</w:t>
      </w:r>
      <w:r w:rsidRPr="006C341D">
        <w:rPr>
          <w:rFonts w:eastAsia="Times New Roman"/>
          <w:b/>
          <w:sz w:val="24"/>
          <w:szCs w:val="24"/>
        </w:rPr>
        <w:t>5% процентов от цены продажи лота,</w:t>
      </w:r>
      <w:r>
        <w:rPr>
          <w:rFonts w:eastAsia="Times New Roman"/>
          <w:sz w:val="24"/>
          <w:szCs w:val="24"/>
        </w:rPr>
        <w:t xml:space="preserve"> действующей в соответствующий период.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8.5</w:t>
      </w:r>
      <w:r w:rsidR="003064E9">
        <w:rPr>
          <w:rFonts w:eastAsia="Times New Roman"/>
          <w:sz w:val="24"/>
          <w:szCs w:val="24"/>
        </w:rPr>
        <w:t xml:space="preserve">. Если в установленный срок не поступила заявка на участие в торгах, содержащая предложение о цене имущества должника, которая не ниже установленной начальной цены продажи имущества должника посредством публичного предложения, то начальная цена продажи имущества должника подлежит последовательному снижению </w:t>
      </w:r>
      <w:r w:rsidR="006F54C4" w:rsidRPr="003F0FE4">
        <w:rPr>
          <w:rFonts w:eastAsia="Times New Roman"/>
          <w:b/>
          <w:sz w:val="24"/>
          <w:szCs w:val="24"/>
        </w:rPr>
        <w:t>каждые 10</w:t>
      </w:r>
      <w:r w:rsidR="003064E9" w:rsidRPr="003F0FE4">
        <w:rPr>
          <w:rFonts w:eastAsia="Times New Roman"/>
          <w:b/>
          <w:sz w:val="24"/>
          <w:szCs w:val="24"/>
        </w:rPr>
        <w:t xml:space="preserve"> календарных днейна 10 % от начальной цены продажи имущества посредством публичного предложения</w:t>
      </w:r>
      <w:r w:rsidR="003064E9">
        <w:rPr>
          <w:rFonts w:eastAsia="Times New Roman"/>
          <w:sz w:val="24"/>
          <w:szCs w:val="24"/>
        </w:rPr>
        <w:t>.</w:t>
      </w:r>
    </w:p>
    <w:p w:rsidR="003064E9" w:rsidRDefault="003064E9" w:rsidP="003064E9">
      <w:pPr>
        <w:spacing w:line="17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8.6</w:t>
      </w:r>
      <w:r w:rsidR="003064E9">
        <w:rPr>
          <w:rFonts w:eastAsia="Times New Roman"/>
          <w:sz w:val="24"/>
          <w:szCs w:val="24"/>
        </w:rPr>
        <w:t>. При достижении минимальной цены предложения, указанной в п. 8.2. настоящего Положения и в случае отсутствия в течение десяти календарных дней действия этого публичного предложения заявок на приобретение имущества реализация имущества посредством публичного предложения прекращается.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063AA2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8.7</w:t>
      </w:r>
      <w:r w:rsidR="003064E9">
        <w:rPr>
          <w:rFonts w:eastAsia="Times New Roman"/>
          <w:sz w:val="24"/>
          <w:szCs w:val="24"/>
        </w:rPr>
        <w:t>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3064E9" w:rsidRDefault="003064E9" w:rsidP="003064E9">
      <w:pPr>
        <w:spacing w:line="14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063AA2" w:rsidP="003064E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</w:t>
      </w:r>
      <w:r w:rsidR="003064E9">
        <w:rPr>
          <w:rFonts w:eastAsia="Times New Roman"/>
          <w:sz w:val="24"/>
          <w:szCs w:val="24"/>
        </w:rPr>
        <w:t>. Со дня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Pr="003F0FE4" w:rsidRDefault="003064E9" w:rsidP="003064E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Подведение итогов торгов и определение победителя торгов, при наличии поданных претендентами заявок на участие в торгах, </w:t>
      </w:r>
      <w:r w:rsidRPr="003F0FE4">
        <w:rPr>
          <w:rFonts w:eastAsia="Times New Roman"/>
          <w:sz w:val="24"/>
          <w:szCs w:val="24"/>
        </w:rPr>
        <w:t xml:space="preserve">производится </w:t>
      </w:r>
      <w:r w:rsidR="00063AA2" w:rsidRPr="003F0FE4">
        <w:rPr>
          <w:rFonts w:eastAsia="Times New Roman"/>
          <w:sz w:val="24"/>
          <w:szCs w:val="24"/>
        </w:rPr>
        <w:t>на следующий</w:t>
      </w:r>
      <w:r w:rsidRPr="003F0FE4">
        <w:rPr>
          <w:rFonts w:eastAsia="Times New Roman"/>
          <w:sz w:val="24"/>
          <w:szCs w:val="24"/>
        </w:rPr>
        <w:t xml:space="preserve"> день</w:t>
      </w:r>
      <w:r w:rsidR="00063AA2" w:rsidRPr="003F0FE4">
        <w:rPr>
          <w:rFonts w:eastAsia="Times New Roman"/>
          <w:sz w:val="24"/>
          <w:szCs w:val="24"/>
        </w:rPr>
        <w:t xml:space="preserve"> после окончания</w:t>
      </w:r>
      <w:r w:rsidRPr="003F0FE4">
        <w:rPr>
          <w:rFonts w:eastAsia="Times New Roman"/>
          <w:sz w:val="24"/>
          <w:szCs w:val="24"/>
        </w:rPr>
        <w:t>периода действия цены продажи Имущества.</w:t>
      </w:r>
    </w:p>
    <w:p w:rsidR="003064E9" w:rsidRPr="00437B75" w:rsidRDefault="003064E9" w:rsidP="003064E9">
      <w:pPr>
        <w:widowControl w:val="0"/>
        <w:ind w:firstLine="567"/>
        <w:jc w:val="both"/>
        <w:rPr>
          <w:sz w:val="24"/>
          <w:szCs w:val="24"/>
        </w:rPr>
      </w:pPr>
      <w:r w:rsidRPr="003F0FE4">
        <w:rPr>
          <w:sz w:val="24"/>
          <w:szCs w:val="24"/>
        </w:rPr>
        <w:t>Оплата в соответствии с договором купли-продажи должна быть осуществлена покупателем в течение 30 (тридцати дней) со дня подписания договора</w:t>
      </w:r>
      <w:r w:rsidR="00063AA2" w:rsidRPr="003F0FE4">
        <w:rPr>
          <w:sz w:val="24"/>
          <w:szCs w:val="24"/>
        </w:rPr>
        <w:t xml:space="preserve"> по реквизитам, указанным в договоре купли-продажи</w:t>
      </w:r>
      <w:r w:rsidRPr="003F0FE4">
        <w:rPr>
          <w:sz w:val="24"/>
          <w:szCs w:val="24"/>
        </w:rPr>
        <w:t>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</w:t>
      </w:r>
    </w:p>
    <w:p w:rsidR="003064E9" w:rsidRDefault="003064E9" w:rsidP="003064E9">
      <w:pPr>
        <w:spacing w:line="14" w:lineRule="exact"/>
        <w:rPr>
          <w:sz w:val="20"/>
          <w:szCs w:val="20"/>
        </w:rPr>
      </w:pPr>
    </w:p>
    <w:p w:rsidR="003064E9" w:rsidRDefault="003064E9" w:rsidP="003064E9">
      <w:pPr>
        <w:numPr>
          <w:ilvl w:val="0"/>
          <w:numId w:val="7"/>
        </w:numPr>
        <w:tabs>
          <w:tab w:val="left" w:pos="948"/>
        </w:tabs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15 дней с даты заключения договора, внесенный задаток ему не возвращается и дальнейшая продажа производится, начиная с последней цены, установленной на день определения победителя торгов.</w:t>
      </w:r>
    </w:p>
    <w:p w:rsidR="003064E9" w:rsidRDefault="003064E9" w:rsidP="003064E9">
      <w:pPr>
        <w:spacing w:line="16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13" w:lineRule="exact"/>
        <w:rPr>
          <w:rFonts w:eastAsia="Times New Roman"/>
          <w:sz w:val="24"/>
          <w:szCs w:val="24"/>
        </w:rPr>
      </w:pPr>
    </w:p>
    <w:p w:rsidR="003064E9" w:rsidRDefault="003064E9" w:rsidP="003064E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8.9. В случае если торги по продаже имущества должника в форме публичного предложения признаны несостоявшимися, то конкурсные кредиторы и конкурсный управляющий с целью дальнейшей реализации имущества вправе внести изменения в настоящее Положение.</w:t>
      </w:r>
    </w:p>
    <w:p w:rsidR="003064E9" w:rsidRDefault="003064E9" w:rsidP="003064E9">
      <w:pPr>
        <w:tabs>
          <w:tab w:val="left" w:pos="3700"/>
        </w:tabs>
        <w:rPr>
          <w:rFonts w:eastAsia="Times New Roman"/>
          <w:b/>
          <w:bCs/>
          <w:sz w:val="24"/>
          <w:szCs w:val="24"/>
        </w:rPr>
      </w:pPr>
    </w:p>
    <w:p w:rsidR="003064E9" w:rsidRDefault="003064E9" w:rsidP="003064E9">
      <w:pPr>
        <w:tabs>
          <w:tab w:val="left" w:pos="37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10. Внесение изменений в Положение</w:t>
      </w:r>
    </w:p>
    <w:p w:rsidR="003064E9" w:rsidRDefault="003064E9" w:rsidP="003064E9">
      <w:pPr>
        <w:spacing w:line="67" w:lineRule="exact"/>
        <w:rPr>
          <w:sz w:val="20"/>
          <w:szCs w:val="20"/>
        </w:rPr>
      </w:pPr>
    </w:p>
    <w:p w:rsidR="003064E9" w:rsidRDefault="003064E9" w:rsidP="003064E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В случае изменения порядка, сроков и (или) условий продажи Имущества Должника, такие изменения утверждаются только в порядке, в котором утверждалось настоящее Положение, и оформляются Дополнениями к настоящему Положению.</w:t>
      </w:r>
    </w:p>
    <w:p w:rsidR="003064E9" w:rsidRDefault="003064E9" w:rsidP="003064E9">
      <w:pPr>
        <w:spacing w:line="200" w:lineRule="exact"/>
        <w:rPr>
          <w:sz w:val="20"/>
          <w:szCs w:val="20"/>
        </w:rPr>
      </w:pPr>
    </w:p>
    <w:p w:rsidR="00515D62" w:rsidRDefault="00515D62"/>
    <w:sectPr w:rsidR="00515D62" w:rsidSect="005D7DEA">
      <w:pgSz w:w="11900" w:h="16838"/>
      <w:pgMar w:top="705" w:right="846" w:bottom="993" w:left="90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93EF58C"/>
    <w:lvl w:ilvl="0" w:tplc="95A449D2">
      <w:start w:val="1"/>
      <w:numFmt w:val="decimal"/>
      <w:lvlText w:val="%1)"/>
      <w:lvlJc w:val="left"/>
    </w:lvl>
    <w:lvl w:ilvl="1" w:tplc="6CD22F6E">
      <w:numFmt w:val="decimal"/>
      <w:lvlText w:val=""/>
      <w:lvlJc w:val="left"/>
    </w:lvl>
    <w:lvl w:ilvl="2" w:tplc="F6664734">
      <w:numFmt w:val="decimal"/>
      <w:lvlText w:val=""/>
      <w:lvlJc w:val="left"/>
    </w:lvl>
    <w:lvl w:ilvl="3" w:tplc="0112464E">
      <w:numFmt w:val="decimal"/>
      <w:lvlText w:val=""/>
      <w:lvlJc w:val="left"/>
    </w:lvl>
    <w:lvl w:ilvl="4" w:tplc="9C387958">
      <w:numFmt w:val="decimal"/>
      <w:lvlText w:val=""/>
      <w:lvlJc w:val="left"/>
    </w:lvl>
    <w:lvl w:ilvl="5" w:tplc="86A03B1E">
      <w:numFmt w:val="decimal"/>
      <w:lvlText w:val=""/>
      <w:lvlJc w:val="left"/>
    </w:lvl>
    <w:lvl w:ilvl="6" w:tplc="6EBEE61C">
      <w:numFmt w:val="decimal"/>
      <w:lvlText w:val=""/>
      <w:lvlJc w:val="left"/>
    </w:lvl>
    <w:lvl w:ilvl="7" w:tplc="50B465D0">
      <w:numFmt w:val="decimal"/>
      <w:lvlText w:val=""/>
      <w:lvlJc w:val="left"/>
    </w:lvl>
    <w:lvl w:ilvl="8" w:tplc="4AAAD2C2">
      <w:numFmt w:val="decimal"/>
      <w:lvlText w:val=""/>
      <w:lvlJc w:val="left"/>
    </w:lvl>
  </w:abstractNum>
  <w:abstractNum w:abstractNumId="1">
    <w:nsid w:val="00000BB3"/>
    <w:multiLevelType w:val="hybridMultilevel"/>
    <w:tmpl w:val="F9A2747A"/>
    <w:lvl w:ilvl="0" w:tplc="EB18B5F4">
      <w:start w:val="1"/>
      <w:numFmt w:val="bullet"/>
      <w:lvlText w:val="о"/>
      <w:lvlJc w:val="left"/>
    </w:lvl>
    <w:lvl w:ilvl="1" w:tplc="C8560004">
      <w:start w:val="1"/>
      <w:numFmt w:val="bullet"/>
      <w:lvlText w:val="В"/>
      <w:lvlJc w:val="left"/>
    </w:lvl>
    <w:lvl w:ilvl="2" w:tplc="033EA26A">
      <w:numFmt w:val="decimal"/>
      <w:lvlText w:val=""/>
      <w:lvlJc w:val="left"/>
    </w:lvl>
    <w:lvl w:ilvl="3" w:tplc="3A58B7A2">
      <w:numFmt w:val="decimal"/>
      <w:lvlText w:val=""/>
      <w:lvlJc w:val="left"/>
    </w:lvl>
    <w:lvl w:ilvl="4" w:tplc="661A7B06">
      <w:numFmt w:val="decimal"/>
      <w:lvlText w:val=""/>
      <w:lvlJc w:val="left"/>
    </w:lvl>
    <w:lvl w:ilvl="5" w:tplc="02ACD068">
      <w:numFmt w:val="decimal"/>
      <w:lvlText w:val=""/>
      <w:lvlJc w:val="left"/>
    </w:lvl>
    <w:lvl w:ilvl="6" w:tplc="B9DE0C82">
      <w:numFmt w:val="decimal"/>
      <w:lvlText w:val=""/>
      <w:lvlJc w:val="left"/>
    </w:lvl>
    <w:lvl w:ilvl="7" w:tplc="14CC2EEA">
      <w:numFmt w:val="decimal"/>
      <w:lvlText w:val=""/>
      <w:lvlJc w:val="left"/>
    </w:lvl>
    <w:lvl w:ilvl="8" w:tplc="55C28946">
      <w:numFmt w:val="decimal"/>
      <w:lvlText w:val=""/>
      <w:lvlJc w:val="left"/>
    </w:lvl>
  </w:abstractNum>
  <w:abstractNum w:abstractNumId="2">
    <w:nsid w:val="000012DB"/>
    <w:multiLevelType w:val="hybridMultilevel"/>
    <w:tmpl w:val="DAAA6830"/>
    <w:lvl w:ilvl="0" w:tplc="8F1EDDAA">
      <w:start w:val="1"/>
      <w:numFmt w:val="bullet"/>
      <w:lvlText w:val="В"/>
      <w:lvlJc w:val="left"/>
    </w:lvl>
    <w:lvl w:ilvl="1" w:tplc="4BA0BD06">
      <w:numFmt w:val="decimal"/>
      <w:lvlText w:val=""/>
      <w:lvlJc w:val="left"/>
    </w:lvl>
    <w:lvl w:ilvl="2" w:tplc="0BC25FD2">
      <w:numFmt w:val="decimal"/>
      <w:lvlText w:val=""/>
      <w:lvlJc w:val="left"/>
    </w:lvl>
    <w:lvl w:ilvl="3" w:tplc="906AC590">
      <w:numFmt w:val="decimal"/>
      <w:lvlText w:val=""/>
      <w:lvlJc w:val="left"/>
    </w:lvl>
    <w:lvl w:ilvl="4" w:tplc="C42ECA9C">
      <w:numFmt w:val="decimal"/>
      <w:lvlText w:val=""/>
      <w:lvlJc w:val="left"/>
    </w:lvl>
    <w:lvl w:ilvl="5" w:tplc="4D9A6FC0">
      <w:numFmt w:val="decimal"/>
      <w:lvlText w:val=""/>
      <w:lvlJc w:val="left"/>
    </w:lvl>
    <w:lvl w:ilvl="6" w:tplc="B8563224">
      <w:numFmt w:val="decimal"/>
      <w:lvlText w:val=""/>
      <w:lvlJc w:val="left"/>
    </w:lvl>
    <w:lvl w:ilvl="7" w:tplc="1CBE13BC">
      <w:numFmt w:val="decimal"/>
      <w:lvlText w:val=""/>
      <w:lvlJc w:val="left"/>
    </w:lvl>
    <w:lvl w:ilvl="8" w:tplc="706ECF34">
      <w:numFmt w:val="decimal"/>
      <w:lvlText w:val=""/>
      <w:lvlJc w:val="left"/>
    </w:lvl>
  </w:abstractNum>
  <w:abstractNum w:abstractNumId="3">
    <w:nsid w:val="0000153C"/>
    <w:multiLevelType w:val="hybridMultilevel"/>
    <w:tmpl w:val="3FA27712"/>
    <w:lvl w:ilvl="0" w:tplc="76287126">
      <w:start w:val="9"/>
      <w:numFmt w:val="decimal"/>
      <w:lvlText w:val="%1."/>
      <w:lvlJc w:val="left"/>
    </w:lvl>
    <w:lvl w:ilvl="1" w:tplc="2E34EF30">
      <w:numFmt w:val="decimal"/>
      <w:lvlText w:val=""/>
      <w:lvlJc w:val="left"/>
    </w:lvl>
    <w:lvl w:ilvl="2" w:tplc="8918E166">
      <w:numFmt w:val="decimal"/>
      <w:lvlText w:val=""/>
      <w:lvlJc w:val="left"/>
    </w:lvl>
    <w:lvl w:ilvl="3" w:tplc="CAD271D2">
      <w:numFmt w:val="decimal"/>
      <w:lvlText w:val=""/>
      <w:lvlJc w:val="left"/>
    </w:lvl>
    <w:lvl w:ilvl="4" w:tplc="ECF624A2">
      <w:numFmt w:val="decimal"/>
      <w:lvlText w:val=""/>
      <w:lvlJc w:val="left"/>
    </w:lvl>
    <w:lvl w:ilvl="5" w:tplc="AE3CC08A">
      <w:numFmt w:val="decimal"/>
      <w:lvlText w:val=""/>
      <w:lvlJc w:val="left"/>
    </w:lvl>
    <w:lvl w:ilvl="6" w:tplc="0E5C2D7E">
      <w:numFmt w:val="decimal"/>
      <w:lvlText w:val=""/>
      <w:lvlJc w:val="left"/>
    </w:lvl>
    <w:lvl w:ilvl="7" w:tplc="A2FC3412">
      <w:numFmt w:val="decimal"/>
      <w:lvlText w:val=""/>
      <w:lvlJc w:val="left"/>
    </w:lvl>
    <w:lvl w:ilvl="8" w:tplc="259E67D6">
      <w:numFmt w:val="decimal"/>
      <w:lvlText w:val=""/>
      <w:lvlJc w:val="left"/>
    </w:lvl>
  </w:abstractNum>
  <w:abstractNum w:abstractNumId="4">
    <w:nsid w:val="000026E9"/>
    <w:multiLevelType w:val="hybridMultilevel"/>
    <w:tmpl w:val="B5982B70"/>
    <w:lvl w:ilvl="0" w:tplc="C81A27FE">
      <w:start w:val="1"/>
      <w:numFmt w:val="bullet"/>
      <w:lvlText w:val="В"/>
      <w:lvlJc w:val="left"/>
    </w:lvl>
    <w:lvl w:ilvl="1" w:tplc="C6BA4C3E">
      <w:numFmt w:val="decimal"/>
      <w:lvlText w:val=""/>
      <w:lvlJc w:val="left"/>
    </w:lvl>
    <w:lvl w:ilvl="2" w:tplc="67EA13D2">
      <w:numFmt w:val="decimal"/>
      <w:lvlText w:val=""/>
      <w:lvlJc w:val="left"/>
    </w:lvl>
    <w:lvl w:ilvl="3" w:tplc="A8682368">
      <w:numFmt w:val="decimal"/>
      <w:lvlText w:val=""/>
      <w:lvlJc w:val="left"/>
    </w:lvl>
    <w:lvl w:ilvl="4" w:tplc="BC849974">
      <w:numFmt w:val="decimal"/>
      <w:lvlText w:val=""/>
      <w:lvlJc w:val="left"/>
    </w:lvl>
    <w:lvl w:ilvl="5" w:tplc="72FE06F0">
      <w:numFmt w:val="decimal"/>
      <w:lvlText w:val=""/>
      <w:lvlJc w:val="left"/>
    </w:lvl>
    <w:lvl w:ilvl="6" w:tplc="80105F9C">
      <w:numFmt w:val="decimal"/>
      <w:lvlText w:val=""/>
      <w:lvlJc w:val="left"/>
    </w:lvl>
    <w:lvl w:ilvl="7" w:tplc="6CA0AF52">
      <w:numFmt w:val="decimal"/>
      <w:lvlText w:val=""/>
      <w:lvlJc w:val="left"/>
    </w:lvl>
    <w:lvl w:ilvl="8" w:tplc="59B60E5A">
      <w:numFmt w:val="decimal"/>
      <w:lvlText w:val=""/>
      <w:lvlJc w:val="left"/>
    </w:lvl>
  </w:abstractNum>
  <w:abstractNum w:abstractNumId="5">
    <w:nsid w:val="00002EA6"/>
    <w:multiLevelType w:val="hybridMultilevel"/>
    <w:tmpl w:val="AF7A573E"/>
    <w:lvl w:ilvl="0" w:tplc="67BC019C">
      <w:start w:val="1"/>
      <w:numFmt w:val="bullet"/>
      <w:lvlText w:val="о"/>
      <w:lvlJc w:val="left"/>
    </w:lvl>
    <w:lvl w:ilvl="1" w:tplc="13C26E38">
      <w:numFmt w:val="decimal"/>
      <w:lvlText w:val=""/>
      <w:lvlJc w:val="left"/>
    </w:lvl>
    <w:lvl w:ilvl="2" w:tplc="F84C3B1E">
      <w:numFmt w:val="decimal"/>
      <w:lvlText w:val=""/>
      <w:lvlJc w:val="left"/>
    </w:lvl>
    <w:lvl w:ilvl="3" w:tplc="3B467B6A">
      <w:numFmt w:val="decimal"/>
      <w:lvlText w:val=""/>
      <w:lvlJc w:val="left"/>
    </w:lvl>
    <w:lvl w:ilvl="4" w:tplc="0A9C3F0E">
      <w:numFmt w:val="decimal"/>
      <w:lvlText w:val=""/>
      <w:lvlJc w:val="left"/>
    </w:lvl>
    <w:lvl w:ilvl="5" w:tplc="8578EF2C">
      <w:numFmt w:val="decimal"/>
      <w:lvlText w:val=""/>
      <w:lvlJc w:val="left"/>
    </w:lvl>
    <w:lvl w:ilvl="6" w:tplc="18F4AC7E">
      <w:numFmt w:val="decimal"/>
      <w:lvlText w:val=""/>
      <w:lvlJc w:val="left"/>
    </w:lvl>
    <w:lvl w:ilvl="7" w:tplc="D7FA337E">
      <w:numFmt w:val="decimal"/>
      <w:lvlText w:val=""/>
      <w:lvlJc w:val="left"/>
    </w:lvl>
    <w:lvl w:ilvl="8" w:tplc="F0B6FC34">
      <w:numFmt w:val="decimal"/>
      <w:lvlText w:val=""/>
      <w:lvlJc w:val="left"/>
    </w:lvl>
  </w:abstractNum>
  <w:abstractNum w:abstractNumId="6">
    <w:nsid w:val="00005AF1"/>
    <w:multiLevelType w:val="hybridMultilevel"/>
    <w:tmpl w:val="F872BB9E"/>
    <w:lvl w:ilvl="0" w:tplc="279876E8">
      <w:start w:val="1"/>
      <w:numFmt w:val="decimal"/>
      <w:lvlText w:val="%1."/>
      <w:lvlJc w:val="left"/>
    </w:lvl>
    <w:lvl w:ilvl="1" w:tplc="1610C522">
      <w:numFmt w:val="decimal"/>
      <w:lvlText w:val=""/>
      <w:lvlJc w:val="left"/>
    </w:lvl>
    <w:lvl w:ilvl="2" w:tplc="384287DE">
      <w:numFmt w:val="decimal"/>
      <w:lvlText w:val=""/>
      <w:lvlJc w:val="left"/>
    </w:lvl>
    <w:lvl w:ilvl="3" w:tplc="BE0C6240">
      <w:numFmt w:val="decimal"/>
      <w:lvlText w:val=""/>
      <w:lvlJc w:val="left"/>
    </w:lvl>
    <w:lvl w:ilvl="4" w:tplc="A650B76C">
      <w:numFmt w:val="decimal"/>
      <w:lvlText w:val=""/>
      <w:lvlJc w:val="left"/>
    </w:lvl>
    <w:lvl w:ilvl="5" w:tplc="346A3AAC">
      <w:numFmt w:val="decimal"/>
      <w:lvlText w:val=""/>
      <w:lvlJc w:val="left"/>
    </w:lvl>
    <w:lvl w:ilvl="6" w:tplc="25FEE994">
      <w:numFmt w:val="decimal"/>
      <w:lvlText w:val=""/>
      <w:lvlJc w:val="left"/>
    </w:lvl>
    <w:lvl w:ilvl="7" w:tplc="746235B0">
      <w:numFmt w:val="decimal"/>
      <w:lvlText w:val=""/>
      <w:lvlJc w:val="left"/>
    </w:lvl>
    <w:lvl w:ilvl="8" w:tplc="E862838C">
      <w:numFmt w:val="decimal"/>
      <w:lvlText w:val=""/>
      <w:lvlJc w:val="left"/>
    </w:lvl>
  </w:abstractNum>
  <w:abstractNum w:abstractNumId="7">
    <w:nsid w:val="00006DF1"/>
    <w:multiLevelType w:val="hybridMultilevel"/>
    <w:tmpl w:val="02329DE6"/>
    <w:lvl w:ilvl="0" w:tplc="ED72E9C0">
      <w:start w:val="1"/>
      <w:numFmt w:val="bullet"/>
      <w:lvlText w:val="в"/>
      <w:lvlJc w:val="left"/>
    </w:lvl>
    <w:lvl w:ilvl="1" w:tplc="1DEA20B0">
      <w:numFmt w:val="decimal"/>
      <w:lvlText w:val=""/>
      <w:lvlJc w:val="left"/>
    </w:lvl>
    <w:lvl w:ilvl="2" w:tplc="61928B36">
      <w:numFmt w:val="decimal"/>
      <w:lvlText w:val=""/>
      <w:lvlJc w:val="left"/>
    </w:lvl>
    <w:lvl w:ilvl="3" w:tplc="067E6DEE">
      <w:numFmt w:val="decimal"/>
      <w:lvlText w:val=""/>
      <w:lvlJc w:val="left"/>
    </w:lvl>
    <w:lvl w:ilvl="4" w:tplc="E13A1F22">
      <w:numFmt w:val="decimal"/>
      <w:lvlText w:val=""/>
      <w:lvlJc w:val="left"/>
    </w:lvl>
    <w:lvl w:ilvl="5" w:tplc="D11A847E">
      <w:numFmt w:val="decimal"/>
      <w:lvlText w:val=""/>
      <w:lvlJc w:val="left"/>
    </w:lvl>
    <w:lvl w:ilvl="6" w:tplc="6362448A">
      <w:numFmt w:val="decimal"/>
      <w:lvlText w:val=""/>
      <w:lvlJc w:val="left"/>
    </w:lvl>
    <w:lvl w:ilvl="7" w:tplc="F0B635D2">
      <w:numFmt w:val="decimal"/>
      <w:lvlText w:val=""/>
      <w:lvlJc w:val="left"/>
    </w:lvl>
    <w:lvl w:ilvl="8" w:tplc="4558B83A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4E9"/>
    <w:rsid w:val="00024536"/>
    <w:rsid w:val="000510A7"/>
    <w:rsid w:val="00063AA2"/>
    <w:rsid w:val="00077099"/>
    <w:rsid w:val="00080989"/>
    <w:rsid w:val="000B1125"/>
    <w:rsid w:val="000F079C"/>
    <w:rsid w:val="00100E8F"/>
    <w:rsid w:val="0017046B"/>
    <w:rsid w:val="001901FB"/>
    <w:rsid w:val="001C4B48"/>
    <w:rsid w:val="00293EA4"/>
    <w:rsid w:val="002A1C36"/>
    <w:rsid w:val="002B7E04"/>
    <w:rsid w:val="002C5B8B"/>
    <w:rsid w:val="002F00FB"/>
    <w:rsid w:val="003064E9"/>
    <w:rsid w:val="003330CC"/>
    <w:rsid w:val="003B2813"/>
    <w:rsid w:val="003F0FE4"/>
    <w:rsid w:val="0044160E"/>
    <w:rsid w:val="00484FF1"/>
    <w:rsid w:val="00487B58"/>
    <w:rsid w:val="004A45A8"/>
    <w:rsid w:val="00515D62"/>
    <w:rsid w:val="0053036C"/>
    <w:rsid w:val="00537877"/>
    <w:rsid w:val="00565E72"/>
    <w:rsid w:val="005733F9"/>
    <w:rsid w:val="005B5D78"/>
    <w:rsid w:val="005C2069"/>
    <w:rsid w:val="005D7699"/>
    <w:rsid w:val="005D7DEA"/>
    <w:rsid w:val="005F37E0"/>
    <w:rsid w:val="005F4443"/>
    <w:rsid w:val="00616E0B"/>
    <w:rsid w:val="00650E0D"/>
    <w:rsid w:val="006702A6"/>
    <w:rsid w:val="006D6EDC"/>
    <w:rsid w:val="006F54C4"/>
    <w:rsid w:val="007110BE"/>
    <w:rsid w:val="00754411"/>
    <w:rsid w:val="007646D7"/>
    <w:rsid w:val="00783D2A"/>
    <w:rsid w:val="00785E54"/>
    <w:rsid w:val="007B5815"/>
    <w:rsid w:val="007F203D"/>
    <w:rsid w:val="00843817"/>
    <w:rsid w:val="008E1F8B"/>
    <w:rsid w:val="00916EE4"/>
    <w:rsid w:val="0097493F"/>
    <w:rsid w:val="00A41F97"/>
    <w:rsid w:val="00AA2D54"/>
    <w:rsid w:val="00AE1969"/>
    <w:rsid w:val="00B02926"/>
    <w:rsid w:val="00B51888"/>
    <w:rsid w:val="00B81ED3"/>
    <w:rsid w:val="00C00856"/>
    <w:rsid w:val="00CA61DF"/>
    <w:rsid w:val="00CD5035"/>
    <w:rsid w:val="00CF590D"/>
    <w:rsid w:val="00D0682F"/>
    <w:rsid w:val="00D15A4E"/>
    <w:rsid w:val="00D37FA5"/>
    <w:rsid w:val="00E244B2"/>
    <w:rsid w:val="00F03E89"/>
    <w:rsid w:val="00F4318E"/>
    <w:rsid w:val="00FB171B"/>
    <w:rsid w:val="00FC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3064E9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064E9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p10">
    <w:name w:val="p10"/>
    <w:basedOn w:val="a"/>
    <w:rsid w:val="003064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3064E9"/>
  </w:style>
  <w:style w:type="paragraph" w:styleId="a6">
    <w:name w:val="Balloon Text"/>
    <w:basedOn w:val="a"/>
    <w:link w:val="a7"/>
    <w:uiPriority w:val="99"/>
    <w:semiHidden/>
    <w:unhideWhenUsed/>
    <w:rsid w:val="0007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99"/>
    <w:qFormat/>
    <w:rsid w:val="003064E9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3064E9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p10">
    <w:name w:val="p10"/>
    <w:basedOn w:val="a"/>
    <w:rsid w:val="003064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3064E9"/>
  </w:style>
  <w:style w:type="paragraph" w:styleId="a6">
    <w:name w:val="Balloon Text"/>
    <w:basedOn w:val="a"/>
    <w:link w:val="a7"/>
    <w:uiPriority w:val="99"/>
    <w:semiHidden/>
    <w:unhideWhenUsed/>
    <w:rsid w:val="0007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2020-05-20T08:27:00Z</cp:lastPrinted>
  <dcterms:created xsi:type="dcterms:W3CDTF">2020-05-19T03:46:00Z</dcterms:created>
  <dcterms:modified xsi:type="dcterms:W3CDTF">2020-09-03T08:31:00Z</dcterms:modified>
</cp:coreProperties>
</file>