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3027E6" w:rsidRPr="00CA7D88">
        <w:t>описание объекта</w:t>
      </w:r>
      <w:r w:rsidR="009B7775" w:rsidRPr="00CA7D88">
        <w:t xml:space="preserve"> </w:t>
      </w:r>
      <w:r w:rsidR="00935639" w:rsidRPr="00CA7D88">
        <w:t>недвижимости, являющ</w:t>
      </w:r>
      <w:r w:rsidR="00995471" w:rsidRPr="00CA7D88">
        <w:t xml:space="preserve">егося </w:t>
      </w:r>
      <w:r w:rsidR="00935639" w:rsidRPr="00CA7D88">
        <w:t xml:space="preserve">собственностью ПАО Сбербанк </w:t>
      </w:r>
      <w:r w:rsidR="00935639" w:rsidRPr="00CA7D88">
        <w:rPr>
          <w:bCs/>
        </w:rPr>
        <w:t xml:space="preserve">(код Лота </w:t>
      </w:r>
      <w:r w:rsidR="00C91B56" w:rsidRPr="00CA7D88">
        <w:rPr>
          <w:bCs/>
        </w:rPr>
        <w:t>РАД-238238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935639" w:rsidRPr="00CA7D88">
        <w:t xml:space="preserve"> </w:t>
      </w:r>
      <w:r w:rsidR="003027E6" w:rsidRPr="00CA7D88">
        <w:t>Дата</w:t>
      </w:r>
      <w:r w:rsidR="00935639" w:rsidRPr="00CA7D88">
        <w:t xml:space="preserve"> </w:t>
      </w:r>
      <w:r w:rsidR="009B7775" w:rsidRPr="00CA7D88">
        <w:t xml:space="preserve">аукциона </w:t>
      </w:r>
      <w:r w:rsidR="003027E6" w:rsidRPr="00CA7D88">
        <w:t>-</w:t>
      </w:r>
      <w:r w:rsidRPr="00CA7D88">
        <w:t xml:space="preserve"> </w:t>
      </w:r>
      <w:r w:rsidR="00C91B56" w:rsidRPr="00CA7D88">
        <w:rPr>
          <w:b/>
        </w:rPr>
        <w:t>03</w:t>
      </w:r>
      <w:r w:rsidR="00937740" w:rsidRPr="00CA7D88">
        <w:rPr>
          <w:b/>
        </w:rPr>
        <w:t xml:space="preserve"> </w:t>
      </w:r>
      <w:r w:rsidR="00C91B56" w:rsidRPr="00CA7D88">
        <w:rPr>
          <w:b/>
        </w:rPr>
        <w:t xml:space="preserve">ноября </w:t>
      </w:r>
      <w:r w:rsidRPr="00CA7D88">
        <w:rPr>
          <w:b/>
        </w:rPr>
        <w:t>20</w:t>
      </w:r>
      <w:r w:rsidR="00C91B56" w:rsidRPr="00CA7D88">
        <w:rPr>
          <w:b/>
        </w:rPr>
        <w:t>20</w:t>
      </w:r>
      <w:r w:rsidRPr="00CA7D88">
        <w:rPr>
          <w:b/>
        </w:rPr>
        <w:t xml:space="preserve"> года</w:t>
      </w:r>
      <w:r w:rsidR="00C42C4C" w:rsidRPr="00CA7D88">
        <w:rPr>
          <w:b/>
        </w:rPr>
        <w:t>.</w:t>
      </w:r>
    </w:p>
    <w:p w:rsidR="00937740" w:rsidRPr="00CA7D88" w:rsidRDefault="00937740" w:rsidP="00BE12BF">
      <w:pPr>
        <w:jc w:val="both"/>
      </w:pPr>
    </w:p>
    <w:p w:rsidR="00B2292B" w:rsidRPr="00CA7D88" w:rsidRDefault="00B2292B" w:rsidP="00BE12BF">
      <w:pPr>
        <w:jc w:val="both"/>
        <w:rPr>
          <w:bCs/>
        </w:rPr>
      </w:pPr>
      <w:r w:rsidRPr="00CA7D88">
        <w:t xml:space="preserve"> </w:t>
      </w:r>
      <w:r w:rsidR="00C42C4C" w:rsidRPr="00CA7D88">
        <w:rPr>
          <w:b/>
          <w:i/>
        </w:rPr>
        <w:t>Описание объекта продажи изложить в следующей редакции:</w:t>
      </w:r>
      <w:r w:rsidR="00995471" w:rsidRPr="00CA7D88">
        <w:t xml:space="preserve">  </w:t>
      </w:r>
    </w:p>
    <w:p w:rsidR="00C91B56" w:rsidRPr="00CA7D88" w:rsidRDefault="00C42C4C" w:rsidP="00C91B56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CA7D88">
        <w:t xml:space="preserve">     </w:t>
      </w:r>
      <w:r w:rsidR="00C91B56" w:rsidRPr="00CA7D88">
        <w:rPr>
          <w:b/>
        </w:rPr>
        <w:t>Лот 1:</w:t>
      </w:r>
      <w:r w:rsidR="00C91B56" w:rsidRPr="00CA7D88">
        <w:t xml:space="preserve"> </w:t>
      </w:r>
      <w:r w:rsidR="00C91B56" w:rsidRPr="00CA7D88">
        <w:rPr>
          <w:b/>
          <w:i/>
        </w:rPr>
        <w:t>Сведения об объекте продажи (единым лотом):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rPr>
          <w:b/>
        </w:rPr>
        <w:t>Объект 1</w:t>
      </w:r>
      <w:r w:rsidRPr="00C91B56">
        <w:t xml:space="preserve">: нежилое помещение №2, 1-го этажа площадью 662,4 </w:t>
      </w:r>
      <w:proofErr w:type="spellStart"/>
      <w:r w:rsidRPr="00C91B56">
        <w:t>кв</w:t>
      </w:r>
      <w:proofErr w:type="gramStart"/>
      <w:r w:rsidRPr="00C91B56">
        <w:t>.м</w:t>
      </w:r>
      <w:proofErr w:type="spellEnd"/>
      <w:proofErr w:type="gramEnd"/>
      <w:r w:rsidRPr="00C91B56">
        <w:t xml:space="preserve">, расположенное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69:37:0070332:388.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rPr>
          <w:b/>
        </w:rPr>
        <w:t>Объект 2</w:t>
      </w:r>
      <w:r w:rsidRPr="00C91B56">
        <w:t xml:space="preserve">: 1/5 доли или 21 </w:t>
      </w:r>
      <w:proofErr w:type="spellStart"/>
      <w:r w:rsidRPr="00C91B56">
        <w:t>кв</w:t>
      </w:r>
      <w:proofErr w:type="gramStart"/>
      <w:r w:rsidRPr="00C91B56">
        <w:t>.м</w:t>
      </w:r>
      <w:proofErr w:type="spellEnd"/>
      <w:proofErr w:type="gramEnd"/>
      <w:r w:rsidRPr="00C91B56">
        <w:t xml:space="preserve"> в праве общей долевой собственности на нежилое помещение 1 - этаж №1, этаж №2 от общей площади 105 </w:t>
      </w:r>
      <w:proofErr w:type="spellStart"/>
      <w:r w:rsidRPr="00C91B56">
        <w:t>кв.м</w:t>
      </w:r>
      <w:proofErr w:type="spellEnd"/>
      <w:r w:rsidRPr="00C91B56">
        <w:t xml:space="preserve">., расположенное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69:37:0070332:387.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rPr>
          <w:b/>
        </w:rPr>
        <w:t>Объект 3</w:t>
      </w:r>
      <w:r w:rsidRPr="00C91B56">
        <w:t xml:space="preserve">: нежилое помещение 5 (подвал) площадью 605,9 </w:t>
      </w:r>
      <w:proofErr w:type="spellStart"/>
      <w:r w:rsidRPr="00C91B56">
        <w:t>кв.м</w:t>
      </w:r>
      <w:proofErr w:type="spellEnd"/>
      <w:r w:rsidRPr="00C91B56">
        <w:t xml:space="preserve">., расположенное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69:37:0070332:391.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rPr>
          <w:b/>
        </w:rPr>
        <w:t>Объект 4</w:t>
      </w:r>
      <w:r w:rsidRPr="00C91B56">
        <w:t xml:space="preserve">: блок крытых стоянок площадью 144,2 </w:t>
      </w:r>
      <w:proofErr w:type="spellStart"/>
      <w:r w:rsidRPr="00C91B56">
        <w:t>кв.м</w:t>
      </w:r>
      <w:proofErr w:type="spellEnd"/>
      <w:r w:rsidRPr="00C91B56">
        <w:t xml:space="preserve">., </w:t>
      </w:r>
      <w:proofErr w:type="gramStart"/>
      <w:r w:rsidRPr="00C91B56">
        <w:t>расположенное</w:t>
      </w:r>
      <w:proofErr w:type="gramEnd"/>
      <w:r w:rsidRPr="00C91B56">
        <w:t xml:space="preserve">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69:37:0070353:121.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rPr>
          <w:b/>
        </w:rPr>
        <w:t>Объект 5</w:t>
      </w:r>
      <w:r w:rsidRPr="00C91B56">
        <w:t xml:space="preserve">: Нежилое здание, подстанция площадью 49,8 </w:t>
      </w:r>
      <w:proofErr w:type="spellStart"/>
      <w:r w:rsidRPr="00C91B56">
        <w:t>кв.м</w:t>
      </w:r>
      <w:proofErr w:type="spellEnd"/>
      <w:r w:rsidRPr="00C91B56">
        <w:t xml:space="preserve">., расположенное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69:37:0070353:120.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right="-57" w:firstLine="284"/>
        <w:contextualSpacing/>
        <w:jc w:val="both"/>
        <w:rPr>
          <w:rFonts w:eastAsiaTheme="minorHAnsi"/>
        </w:rPr>
      </w:pPr>
      <w:r w:rsidRPr="00C91B56">
        <w:rPr>
          <w:b/>
        </w:rPr>
        <w:t>Объект 6</w:t>
      </w:r>
      <w:r w:rsidRPr="00C91B56">
        <w:t xml:space="preserve">: земельный участок площадью 817 </w:t>
      </w:r>
      <w:proofErr w:type="spellStart"/>
      <w:r w:rsidRPr="00C91B56">
        <w:t>кв.м</w:t>
      </w:r>
      <w:proofErr w:type="spellEnd"/>
      <w:r w:rsidRPr="00C91B56">
        <w:t xml:space="preserve">., </w:t>
      </w:r>
      <w:proofErr w:type="gramStart"/>
      <w:r w:rsidRPr="00C91B56">
        <w:t>расположенное</w:t>
      </w:r>
      <w:proofErr w:type="gramEnd"/>
      <w:r w:rsidRPr="00C91B56">
        <w:t xml:space="preserve">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69:37:0070332:386. </w:t>
      </w:r>
      <w:r w:rsidRPr="00C91B56">
        <w:rPr>
          <w:rFonts w:eastAsiaTheme="minorHAnsi"/>
        </w:rPr>
        <w:t xml:space="preserve">Категория земель: земли населенных пунктов, разрешенное использование: для эксплуатации и обслуживания административного здания.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right="-57" w:firstLine="284"/>
        <w:contextualSpacing/>
        <w:jc w:val="both"/>
        <w:rPr>
          <w:rFonts w:eastAsiaTheme="minorHAnsi"/>
        </w:rPr>
      </w:pPr>
      <w:r w:rsidRPr="00C91B56">
        <w:rPr>
          <w:b/>
        </w:rPr>
        <w:t>Объект 7</w:t>
      </w:r>
      <w:r w:rsidRPr="00C91B56">
        <w:t xml:space="preserve">: земельный участок площадью 263 </w:t>
      </w:r>
      <w:proofErr w:type="spellStart"/>
      <w:r w:rsidRPr="00C91B56">
        <w:t>кв.м</w:t>
      </w:r>
      <w:proofErr w:type="spellEnd"/>
      <w:r w:rsidRPr="00C91B56">
        <w:t xml:space="preserve">., </w:t>
      </w:r>
      <w:proofErr w:type="gramStart"/>
      <w:r w:rsidRPr="00C91B56">
        <w:t>расположенное</w:t>
      </w:r>
      <w:proofErr w:type="gramEnd"/>
      <w:r w:rsidRPr="00C91B56">
        <w:t xml:space="preserve">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</w:t>
      </w:r>
      <w:r w:rsidRPr="00C91B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91B56">
        <w:t xml:space="preserve">кадастровым номером 69:37:0070332:385. </w:t>
      </w:r>
      <w:r w:rsidRPr="00C91B56">
        <w:rPr>
          <w:rFonts w:eastAsiaTheme="minorHAnsi"/>
        </w:rPr>
        <w:t xml:space="preserve">Категория земель: земли населенных пунктов, разрешенное использование: для объектов общественно-делового значения. </w:t>
      </w:r>
    </w:p>
    <w:p w:rsidR="00C91B56" w:rsidRPr="00C91B56" w:rsidRDefault="00C91B56" w:rsidP="00C91B56">
      <w:pPr>
        <w:ind w:firstLine="284"/>
        <w:contextualSpacing/>
        <w:jc w:val="both"/>
      </w:pPr>
      <w:r w:rsidRPr="00C91B56">
        <w:t>Существующие ограничения (обременения) права: не зарегистрированы;</w:t>
      </w:r>
    </w:p>
    <w:p w:rsidR="00C91B56" w:rsidRPr="00C91B56" w:rsidRDefault="00C91B56" w:rsidP="00C91B56">
      <w:pPr>
        <w:ind w:right="-57" w:firstLine="284"/>
        <w:contextualSpacing/>
        <w:jc w:val="both"/>
        <w:rPr>
          <w:rFonts w:eastAsiaTheme="minorHAnsi"/>
        </w:rPr>
      </w:pPr>
      <w:r w:rsidRPr="00C91B56">
        <w:rPr>
          <w:b/>
        </w:rPr>
        <w:t>Объект 8</w:t>
      </w:r>
      <w:r w:rsidRPr="00C91B56">
        <w:t xml:space="preserve">: 520/1000 </w:t>
      </w:r>
      <w:r w:rsidRPr="00C91B56">
        <w:rPr>
          <w:rFonts w:eastAsiaTheme="minorHAnsi"/>
        </w:rPr>
        <w:t xml:space="preserve">доли или 1096,68 </w:t>
      </w:r>
      <w:proofErr w:type="spellStart"/>
      <w:r w:rsidRPr="00C91B56">
        <w:rPr>
          <w:rFonts w:eastAsiaTheme="minorHAnsi"/>
        </w:rPr>
        <w:t>кв</w:t>
      </w:r>
      <w:proofErr w:type="gramStart"/>
      <w:r w:rsidRPr="00C91B56">
        <w:rPr>
          <w:rFonts w:eastAsiaTheme="minorHAnsi"/>
        </w:rPr>
        <w:t>.м</w:t>
      </w:r>
      <w:proofErr w:type="spellEnd"/>
      <w:proofErr w:type="gramEnd"/>
      <w:r w:rsidRPr="00C91B56">
        <w:rPr>
          <w:rFonts w:eastAsiaTheme="minorHAnsi"/>
        </w:rPr>
        <w:t xml:space="preserve"> от общей площади земельного участка 2109 </w:t>
      </w:r>
      <w:proofErr w:type="spellStart"/>
      <w:r w:rsidRPr="00C91B56">
        <w:rPr>
          <w:rFonts w:eastAsiaTheme="minorHAnsi"/>
        </w:rPr>
        <w:t>кв.м</w:t>
      </w:r>
      <w:proofErr w:type="spellEnd"/>
      <w:r w:rsidRPr="00C91B56">
        <w:t xml:space="preserve">, расположенного по адресу: Тверская область, </w:t>
      </w:r>
      <w:proofErr w:type="spellStart"/>
      <w:r w:rsidRPr="00C91B56">
        <w:t>Бежецкий</w:t>
      </w:r>
      <w:proofErr w:type="spellEnd"/>
      <w:r w:rsidRPr="00C91B56">
        <w:t xml:space="preserve"> район, г. Бежецк, ул. Радищева, д. 1/34, с кадастровым номером </w:t>
      </w:r>
      <w:r w:rsidRPr="00C91B56">
        <w:rPr>
          <w:rFonts w:eastAsiaTheme="minorHAnsi"/>
        </w:rPr>
        <w:t xml:space="preserve">69:37:0070332:384. Категория земель: земли населенных пунктов, разрешенное использование: для объектов общественно-делового значения. </w:t>
      </w:r>
    </w:p>
    <w:p w:rsidR="00C91B56" w:rsidRPr="00C91B56" w:rsidRDefault="00C91B56" w:rsidP="00C91B56">
      <w:pPr>
        <w:ind w:right="-57" w:firstLine="284"/>
        <w:contextualSpacing/>
        <w:jc w:val="both"/>
      </w:pPr>
      <w:r w:rsidRPr="00C91B56">
        <w:t>Существующие ограничения (обременения) права: не зарегистрированы.</w:t>
      </w:r>
    </w:p>
    <w:p w:rsidR="00C91B56" w:rsidRPr="00C91B56" w:rsidRDefault="00C91B56" w:rsidP="00C91B56">
      <w:pPr>
        <w:ind w:right="-57" w:firstLine="567"/>
        <w:jc w:val="both"/>
        <w:rPr>
          <w:b/>
          <w:u w:val="single"/>
        </w:rPr>
      </w:pPr>
      <w:r w:rsidRPr="00C91B56">
        <w:rPr>
          <w:b/>
          <w:u w:val="single"/>
        </w:rPr>
        <w:t>Существенное условие продажи Объекта:</w:t>
      </w:r>
    </w:p>
    <w:p w:rsidR="00C91B56" w:rsidRPr="00C91B56" w:rsidRDefault="00C91B56" w:rsidP="00C91B56">
      <w:pPr>
        <w:rPr>
          <w:rFonts w:eastAsiaTheme="minorHAnsi"/>
          <w:lang w:eastAsia="en-US"/>
        </w:rPr>
      </w:pPr>
      <w:r w:rsidRPr="00C91B56">
        <w:rPr>
          <w:rFonts w:eastAsiaTheme="minorHAnsi"/>
          <w:lang w:eastAsia="en-US"/>
        </w:rPr>
        <w:t xml:space="preserve">Объекты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Согласно ч. 1 ст. 42 ФЗ от 13.07.2015 №218-ФЗ  "О государственной регистрации недвижимости" </w:t>
      </w:r>
      <w:r w:rsidRPr="00C91B56">
        <w:rPr>
          <w:rFonts w:eastAsiaTheme="minorHAnsi"/>
          <w:b/>
          <w:lang w:eastAsia="en-US"/>
        </w:rPr>
        <w:t>сделка подлежит нотариальному удостоверению</w:t>
      </w:r>
      <w:proofErr w:type="gramStart"/>
      <w:r w:rsidRPr="00C91B56">
        <w:rPr>
          <w:rFonts w:eastAsiaTheme="minorHAnsi"/>
          <w:b/>
          <w:lang w:eastAsia="en-US"/>
        </w:rPr>
        <w:t>.</w:t>
      </w:r>
      <w:r w:rsidRPr="00C91B56">
        <w:rPr>
          <w:rFonts w:eastAsiaTheme="minorHAnsi"/>
          <w:lang w:eastAsia="en-US"/>
        </w:rPr>
        <w:t>»</w:t>
      </w:r>
      <w:proofErr w:type="gramEnd"/>
    </w:p>
    <w:p w:rsidR="00C91B56" w:rsidRPr="00C91B56" w:rsidRDefault="00CA7D88" w:rsidP="00C91B56">
      <w:pPr>
        <w:ind w:right="-57" w:firstLine="567"/>
        <w:jc w:val="both"/>
      </w:pPr>
      <w:r w:rsidRPr="00CA7D88">
        <w:t>Продавец</w:t>
      </w:r>
      <w:r w:rsidR="00C91B56" w:rsidRPr="00C91B56">
        <w:t xml:space="preserve"> и Покупатель, обязуются одновременно с заключением Договора купли-продажи недвижимого имущества с последующей арендой данного имущества (с обратной </w:t>
      </w:r>
      <w:r w:rsidR="00C91B56" w:rsidRPr="00C91B56">
        <w:lastRenderedPageBreak/>
        <w:t xml:space="preserve">арендой), в день заключения Договора, подписать договор долгосрочной аренды помещений не более 737,6 </w:t>
      </w:r>
      <w:proofErr w:type="spellStart"/>
      <w:r w:rsidR="00C91B56" w:rsidRPr="00C91B56">
        <w:t>кв.м</w:t>
      </w:r>
      <w:proofErr w:type="spellEnd"/>
      <w:r w:rsidR="00C91B56" w:rsidRPr="00C91B56">
        <w:t xml:space="preserve">., в том числе 683,4 </w:t>
      </w:r>
      <w:proofErr w:type="spellStart"/>
      <w:r w:rsidR="00C91B56" w:rsidRPr="00C91B56">
        <w:t>кв.м</w:t>
      </w:r>
      <w:proofErr w:type="spellEnd"/>
      <w:r w:rsidR="00C91B56" w:rsidRPr="00C91B56">
        <w:t xml:space="preserve">. на 1-м этаже, 54,2 </w:t>
      </w:r>
      <w:proofErr w:type="spellStart"/>
      <w:r w:rsidR="00C91B56" w:rsidRPr="00C91B56">
        <w:t>кв.м</w:t>
      </w:r>
      <w:proofErr w:type="gramStart"/>
      <w:r w:rsidR="00C91B56" w:rsidRPr="00C91B56">
        <w:t>.в</w:t>
      </w:r>
      <w:proofErr w:type="spellEnd"/>
      <w:proofErr w:type="gramEnd"/>
      <w:r w:rsidR="00C91B56" w:rsidRPr="00C91B56">
        <w:t xml:space="preserve"> блоке крытых стоянок по адресу: Тверская область, </w:t>
      </w:r>
      <w:proofErr w:type="spellStart"/>
      <w:r w:rsidR="00C91B56" w:rsidRPr="00C91B56">
        <w:t>Бежецкий</w:t>
      </w:r>
      <w:proofErr w:type="spellEnd"/>
      <w:r w:rsidR="00C91B56" w:rsidRPr="00C91B56">
        <w:t xml:space="preserve"> район, </w:t>
      </w:r>
      <w:proofErr w:type="spellStart"/>
      <w:r w:rsidR="00C91B56" w:rsidRPr="00C91B56">
        <w:t>г</w:t>
      </w:r>
      <w:proofErr w:type="gramStart"/>
      <w:r w:rsidR="00C91B56" w:rsidRPr="00C91B56">
        <w:t>.Б</w:t>
      </w:r>
      <w:proofErr w:type="gramEnd"/>
      <w:r w:rsidR="00C91B56" w:rsidRPr="00C91B56">
        <w:t>ежецк</w:t>
      </w:r>
      <w:proofErr w:type="spellEnd"/>
      <w:r w:rsidR="00C91B56" w:rsidRPr="00C91B56">
        <w:t xml:space="preserve">, </w:t>
      </w:r>
      <w:proofErr w:type="spellStart"/>
      <w:r w:rsidR="00C91B56" w:rsidRPr="00C91B56">
        <w:t>ул.Радищева</w:t>
      </w:r>
      <w:proofErr w:type="spellEnd"/>
      <w:r w:rsidR="00C91B56" w:rsidRPr="00C91B56">
        <w:t xml:space="preserve">, д.1/34 и фактически занимаемых Продавцом, по форме договора долгосрочной аренды, приведенной в Приложении № 3 к настоящему Договору.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>Арендная плата за пользование помещениями устанавливается:</w:t>
      </w:r>
    </w:p>
    <w:p w:rsidR="00C91B56" w:rsidRPr="00C91B56" w:rsidRDefault="00C91B56" w:rsidP="00C91B56">
      <w:pPr>
        <w:ind w:right="-57" w:firstLine="567"/>
        <w:jc w:val="both"/>
      </w:pPr>
      <w:r w:rsidRPr="00C91B56">
        <w:t>- 1-й этаж, общей площадью 683,4 кв. м. из расчета не более 4 389 (четыре тысячи триста восемьдесят девять) рублей 00 копеек, с учетом НДС 20% за 1 кв. м в год;</w:t>
      </w:r>
    </w:p>
    <w:p w:rsidR="00C91B56" w:rsidRPr="00C91B56" w:rsidRDefault="00C91B56" w:rsidP="00C91B56">
      <w:pPr>
        <w:ind w:right="-57" w:firstLine="567"/>
        <w:jc w:val="both"/>
      </w:pPr>
      <w:r w:rsidRPr="00C91B56">
        <w:t xml:space="preserve">- блок крытых стоянок площадью 54,2 </w:t>
      </w:r>
      <w:proofErr w:type="spellStart"/>
      <w:r w:rsidRPr="00C91B56">
        <w:t>кв</w:t>
      </w:r>
      <w:proofErr w:type="gramStart"/>
      <w:r w:rsidRPr="00C91B56">
        <w:t>.м</w:t>
      </w:r>
      <w:proofErr w:type="spellEnd"/>
      <w:proofErr w:type="gramEnd"/>
      <w:r w:rsidRPr="00C91B56">
        <w:t xml:space="preserve"> из расчета не более 720 (семьсот двадцать) рублей 00 копеек, с учетом НДС 20% за 1 кв. м в год; </w:t>
      </w:r>
    </w:p>
    <w:p w:rsidR="00C91B56" w:rsidRPr="00C91B56" w:rsidRDefault="00C91B56" w:rsidP="00C91B56">
      <w:pPr>
        <w:ind w:right="-57" w:firstLine="567"/>
        <w:jc w:val="both"/>
      </w:pPr>
      <w:r w:rsidRPr="00C91B56">
        <w:t xml:space="preserve">Арендная плата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водо-теплоснабжением и канализацией) оплачиваются </w:t>
      </w:r>
      <w:r w:rsidR="00CA7D88" w:rsidRPr="00CA7D88">
        <w:t>Продавцом</w:t>
      </w:r>
      <w:r w:rsidRPr="00C91B56">
        <w:t xml:space="preserve">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C91B56">
        <w:t>документов</w:t>
      </w:r>
      <w:proofErr w:type="gramEnd"/>
      <w:r w:rsidRPr="00C91B56"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 xml:space="preserve">Площадь аренды может быть изменена в одностороннем внесудебном порядке по требованию </w:t>
      </w:r>
      <w:r w:rsidR="00CA7D88" w:rsidRPr="00CA7D88">
        <w:t>Продавца</w:t>
      </w:r>
      <w:r w:rsidRPr="00C91B56">
        <w:t xml:space="preserve"> при условии письменного уведомления </w:t>
      </w:r>
      <w:r w:rsidR="00CA7D88" w:rsidRPr="00CA7D88">
        <w:t>Продавца</w:t>
      </w:r>
      <w:r w:rsidRPr="00C91B56">
        <w:t xml:space="preserve"> не позднее, чем за 2 (два) месяца, без применения Арендодателем штрафных санкций.</w:t>
      </w:r>
    </w:p>
    <w:p w:rsidR="00C91B56" w:rsidRPr="00C91B56" w:rsidRDefault="00C91B56" w:rsidP="00C91B56">
      <w:pPr>
        <w:ind w:right="-57" w:firstLine="567"/>
        <w:jc w:val="both"/>
      </w:pPr>
      <w:r w:rsidRPr="00C91B56">
        <w:t xml:space="preserve"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 xml:space="preserve">Срок аренды -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</w:t>
      </w:r>
      <w:r w:rsidR="00CA7D88" w:rsidRPr="00CA7D88">
        <w:t>Продавца</w:t>
      </w:r>
      <w:r w:rsidRPr="00C91B56">
        <w:t xml:space="preserve">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Покупатель обязуется:</w:t>
      </w:r>
    </w:p>
    <w:p w:rsidR="00C91B56" w:rsidRPr="00C91B56" w:rsidRDefault="00C91B56" w:rsidP="00C91B56">
      <w:pPr>
        <w:ind w:right="-57" w:firstLine="567"/>
        <w:jc w:val="both"/>
      </w:pPr>
      <w:r w:rsidRPr="00C91B56">
        <w:t>1)</w:t>
      </w:r>
      <w:r w:rsidRPr="00C91B56">
        <w:tab/>
        <w:t xml:space="preserve">Не нарушать своими действиями работоспособность инженерных систем жизнеобеспечения (ИСЖ) помещений, арендуемых </w:t>
      </w:r>
      <w:r w:rsidR="00CA7D88" w:rsidRPr="00CA7D88">
        <w:t>Продавцом</w:t>
      </w:r>
      <w:r w:rsidRPr="00C91B56">
        <w:t xml:space="preserve">, или наносить этим системам и их элементам повреждения.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>2)</w:t>
      </w:r>
      <w:r w:rsidRPr="00C91B56">
        <w:tab/>
        <w:t xml:space="preserve">Соблюдать правила эксплуатации ИСЖ помещений, арендуемых </w:t>
      </w:r>
      <w:r w:rsidR="00CA7D88" w:rsidRPr="00CA7D88">
        <w:t>Продавцом</w:t>
      </w:r>
      <w:r w:rsidRPr="00C91B56">
        <w:t xml:space="preserve">,  в зоне своей ответственности и незамедлительно сообщать обо всех нарушениях в работе ИСЖ </w:t>
      </w:r>
      <w:r w:rsidR="00CA7D88" w:rsidRPr="00CA7D88">
        <w:t>Продавцу</w:t>
      </w:r>
      <w:r w:rsidRPr="00C91B56">
        <w:t xml:space="preserve">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>3)</w:t>
      </w:r>
      <w:r w:rsidRPr="00C91B56">
        <w:tab/>
        <w:t xml:space="preserve">Гарантировать целостность информационных кабельных систем </w:t>
      </w:r>
      <w:r w:rsidR="00CA7D88" w:rsidRPr="00CA7D88">
        <w:t>Продавца</w:t>
      </w:r>
      <w:r w:rsidRPr="00C91B56">
        <w:t>, которые распределены по Объекту  – размещены в подвальном помещении, на первом и втором этажах Объекта.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4)</w:t>
      </w:r>
      <w:r w:rsidRPr="00C91B56">
        <w:tab/>
        <w:t xml:space="preserve">Со стороны Покупателя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>5)</w:t>
      </w:r>
      <w:r w:rsidRPr="00C91B56">
        <w:tab/>
        <w:t>Размещение оборудования и информационных кабельных систем Покупателя и сторонних организаций в помещениях банка не допускается.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6)</w:t>
      </w:r>
      <w:r w:rsidRPr="00C91B56">
        <w:tab/>
        <w:t xml:space="preserve">Покупателем должен быть обеспечен круглосуточный доступ для сотрудников </w:t>
      </w:r>
      <w:r w:rsidR="00CA7D88" w:rsidRPr="00CA7D88">
        <w:t>Продавца</w:t>
      </w:r>
      <w:r w:rsidRPr="00C91B56">
        <w:t>, выполняющих свои должностные обязанности, в помещениях Объекта, к местам прохождения кабельных систем, к элементам ИСЖ.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7)</w:t>
      </w:r>
      <w:r w:rsidRPr="00C91B56">
        <w:tab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</w:t>
      </w:r>
      <w:r w:rsidRPr="00C91B56">
        <w:lastRenderedPageBreak/>
        <w:t xml:space="preserve">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</w:t>
      </w:r>
      <w:r w:rsidR="00CA7D88" w:rsidRPr="00CA7D88">
        <w:t>Продавца</w:t>
      </w:r>
      <w:r w:rsidRPr="00C91B56">
        <w:t xml:space="preserve">. </w:t>
      </w:r>
    </w:p>
    <w:p w:rsidR="00C91B56" w:rsidRPr="00C91B56" w:rsidRDefault="00C91B56" w:rsidP="00C91B56">
      <w:pPr>
        <w:ind w:right="-57" w:firstLine="567"/>
        <w:jc w:val="both"/>
      </w:pPr>
      <w:r w:rsidRPr="00C91B56">
        <w:t>8)</w:t>
      </w:r>
      <w:r w:rsidRPr="00C91B56">
        <w:tab/>
        <w:t xml:space="preserve">Доступ посторонних лиц, включая Покупателя и его представителей, в помещениях Объекта без сопровождения ответственного сотрудника </w:t>
      </w:r>
      <w:r w:rsidR="00CA7D88" w:rsidRPr="00CA7D88">
        <w:t>Продавца</w:t>
      </w:r>
      <w:r w:rsidRPr="00C91B56">
        <w:t xml:space="preserve"> запрещен.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9)</w:t>
      </w:r>
      <w:r w:rsidRPr="00C91B56">
        <w:tab/>
        <w:t xml:space="preserve">Покупатель должен гарантировать целостность и не должен нарушать работоспособность  элементов систем ОПС </w:t>
      </w:r>
      <w:r w:rsidRPr="00C91B56">
        <w:rPr>
          <w:rFonts w:eastAsia="Calibri"/>
          <w:lang w:eastAsia="en-US"/>
        </w:rPr>
        <w:t xml:space="preserve">(охранно-пожарная сигнализация) </w:t>
      </w:r>
      <w:r w:rsidRPr="00C91B56">
        <w:t xml:space="preserve">и ТСВ </w:t>
      </w:r>
      <w:r w:rsidRPr="00C91B56">
        <w:rPr>
          <w:rFonts w:eastAsia="Calibri"/>
          <w:lang w:eastAsia="en-US"/>
        </w:rPr>
        <w:t xml:space="preserve">(телевизионная система видеонаблюдения) </w:t>
      </w:r>
      <w:r w:rsidRPr="00C91B56">
        <w:t>помещений банка размещенных снаружи периметра Объекта.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10)</w:t>
      </w:r>
      <w:r w:rsidRPr="00C91B56">
        <w:tab/>
        <w:t>Покупатель должен соблюдать требования пожарной безопасности.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11)</w:t>
      </w:r>
      <w:r w:rsidRPr="00C91B56">
        <w:tab/>
        <w:t xml:space="preserve">Покупатель обязуется не размещать в помещениях, в котором Продавцом организована зона обслуживания клиентов в режиме 24х7,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C91B56">
        <w:t>микрофинансовых</w:t>
      </w:r>
      <w:proofErr w:type="spellEnd"/>
      <w:r w:rsidRPr="00C91B56">
        <w:t xml:space="preserve"> компаний.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12)</w:t>
      </w:r>
      <w:r w:rsidRPr="00C91B56">
        <w:tab/>
        <w:t xml:space="preserve">Покупатель обязуется не размещать в </w:t>
      </w:r>
      <w:proofErr w:type="gramStart"/>
      <w:r w:rsidRPr="00C91B56">
        <w:t>помещениях</w:t>
      </w:r>
      <w:proofErr w:type="gramEnd"/>
      <w:r w:rsidRPr="00C91B56">
        <w:t xml:space="preserve"> в котором Продавцом организована зона обслуживания клиентов в режиме 24х7, любую информацию рекламного, социального или навигационного характера, не относящуюся к деятельности ПАО Сбербанк.</w:t>
      </w:r>
    </w:p>
    <w:p w:rsidR="00C91B56" w:rsidRPr="00C91B56" w:rsidRDefault="00C91B56" w:rsidP="00C91B56">
      <w:pPr>
        <w:ind w:right="-57" w:firstLine="567"/>
        <w:jc w:val="both"/>
      </w:pPr>
      <w:r w:rsidRPr="00C91B56">
        <w:t>13)</w:t>
      </w:r>
      <w:r w:rsidRPr="00C91B56">
        <w:tab/>
        <w:t>Не размещать на Объекте игровые столы, игровые автоматы, кассы тотализаторов, кассы букмекерских контор и иное игровое оборудование.</w:t>
      </w:r>
    </w:p>
    <w:p w:rsidR="00C91B56" w:rsidRPr="00CA7D88" w:rsidRDefault="00C91B56" w:rsidP="00C91B56">
      <w:pPr>
        <w:ind w:firstLine="567"/>
        <w:jc w:val="both"/>
      </w:pPr>
      <w:r w:rsidRPr="00CA7D88">
        <w:t>14)</w:t>
      </w:r>
      <w:r w:rsidRPr="00CA7D88">
        <w:tab/>
        <w:t>Не размещать на Объекте точки, связанные с распространением алкогольной продукцией.</w:t>
      </w:r>
    </w:p>
    <w:p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Pr="00CA7D88">
        <w:rPr>
          <w:bCs/>
        </w:rPr>
        <w:t>,   а также на  интернет</w:t>
      </w:r>
      <w:r w:rsidR="004B0AE6">
        <w:rPr>
          <w:bCs/>
        </w:rPr>
        <w:t xml:space="preserve"> </w:t>
      </w:r>
      <w:bookmarkStart w:id="0" w:name="_GoBack"/>
      <w:bookmarkEnd w:id="0"/>
      <w:r w:rsidRPr="00CA7D88">
        <w:rPr>
          <w:bCs/>
        </w:rPr>
        <w:t xml:space="preserve">- сайте АО «Российский аукционный дом» </w:t>
      </w:r>
      <w:hyperlink r:id="rId7" w:history="1">
        <w:r w:rsidRPr="00CA7D88">
          <w:rPr>
            <w:rStyle w:val="a4"/>
            <w:bCs/>
          </w:rPr>
          <w:t>www.auction-house.ru</w:t>
        </w:r>
      </w:hyperlink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h8Yn4lgzMbRiV/jziR/wPqU+4bp5frB/NszHHZ7mx2Y=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F9PreInZLzsPu6v8qDVMimKlUVZcFiw4t5iO5EhScHU=</DigestValue>
    </Reference>
  </SignedInfo>
  <SignatureValue>PoAgf8+yKdNQBpkkvFFy2SxbHFaUVtRzoNt/ZmP4KgiYnn6g//10uZuJ1awoUG2v
PgpK6dnZg0kwbHmGepC4pg==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UDrzTzjoxQUa9rLUzQwh5dCc2GE=</DigestValue>
      </Reference>
      <Reference URI="/word/fontTable.xml?ContentType=application/vnd.openxmlformats-officedocument.wordprocessingml.fontTable+xml">
        <DigestMethod Algorithm="http://www.w3.org/2000/09/xmldsig#sha1"/>
        <DigestValue>szd+KTad/wzqoVGueDCmeDvN72E=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v+JRma6GPQrQEEaXaWT3EP+nnjg=</DigestValue>
      </Reference>
      <Reference URI="/word/styles.xml?ContentType=application/vnd.openxmlformats-officedocument.wordprocessingml.styles+xml">
        <DigestMethod Algorithm="http://www.w3.org/2000/09/xmldsig#sha1"/>
        <DigestValue>a0czOKIS/W0oVadzhvO/4k5Cx14=</DigestValue>
      </Reference>
      <Reference URI="/word/stylesWithEffects.xml?ContentType=application/vnd.ms-word.stylesWithEffects+xml">
        <DigestMethod Algorithm="http://www.w3.org/2000/09/xmldsig#sha1"/>
        <DigestValue>oh9qKLuh168X20dULFOUsTfOzHc=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/II6UbM3js6h8JmjC4j1+/KMsgM=</DigestValue>
      </Reference>
    </Manifest>
    <SignatureProperties>
      <SignatureProperty Id="idSignatureTime" Target="#idPackageSignature">
        <mdssi:SignatureTime>
          <mdssi:Format>YYYY-MM-DDThh:mm:ssTZD</mdssi:Format>
          <mdssi:Value>2020-10-15T07:18:04Z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2020-10-15T07:18:04Z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</cp:revision>
  <dcterms:created xsi:type="dcterms:W3CDTF">2019-02-25T11:32:00Z</dcterms:created>
  <dcterms:modified xsi:type="dcterms:W3CDTF">2020-10-15T07:17:00Z</dcterms:modified>
</cp:coreProperties>
</file>