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Бабаевского районного потребительского общества, ИНН 3501001025, ОГРН 1023501689936,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11.10.2018 по делу № А13-17199/2015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в форме </w:t>
      </w:r>
      <w:r w:rsidR="00E113A2" w:rsidRPr="00E113A2">
        <w:rPr>
          <w:sz w:val="24"/>
          <w:szCs w:val="24"/>
        </w:rPr>
        <w:t>аукциона,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10770A">
        <w:rPr>
          <w:sz w:val="24"/>
          <w:szCs w:val="24"/>
        </w:rPr>
        <w:t>2</w:t>
      </w:r>
      <w:r w:rsidR="003C320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3C3202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E55FC7">
        <w:rPr>
          <w:sz w:val="24"/>
          <w:szCs w:val="24"/>
        </w:rPr>
        <w:t>20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</w:t>
      </w:r>
      <w:r w:rsidR="003C3202">
        <w:rPr>
          <w:sz w:val="24"/>
          <w:szCs w:val="24"/>
        </w:rPr>
        <w:t>0</w:t>
      </w:r>
      <w:r w:rsidR="00D7550C" w:rsidRPr="00D7550C">
        <w:rPr>
          <w:sz w:val="24"/>
          <w:szCs w:val="24"/>
        </w:rPr>
        <w:t xml:space="preserve"> час. 00 мин. (МСК)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>следующего имущества Бабаевского районного потребительского общества:</w:t>
      </w:r>
      <w:r w:rsidR="00E55FC7">
        <w:rPr>
          <w:sz w:val="24"/>
          <w:szCs w:val="24"/>
        </w:rPr>
        <w:t xml:space="preserve"> 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E55FC7">
        <w:rPr>
          <w:b/>
          <w:sz w:val="24"/>
          <w:szCs w:val="24"/>
        </w:rPr>
        <w:t>__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B93549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B93549">
        <w:rPr>
          <w:sz w:val="24"/>
          <w:szCs w:val="24"/>
        </w:rPr>
        <w:t>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 w:rsidR="0010770A" w:rsidRPr="0010770A">
        <w:rPr>
          <w:rFonts w:ascii="Times New Roman" w:hAnsi="Times New Roman" w:cs="Times New Roman"/>
          <w:sz w:val="24"/>
          <w:szCs w:val="24"/>
        </w:rPr>
        <w:t>Бабаевское районное потребительское общество ИНН 3501001025, КПП 350101001, р/с 40703810912000001138,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>имущества Бабаевского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B93549">
        <w:rPr>
          <w:rFonts w:ascii="Times New Roman" w:hAnsi="Times New Roman" w:cs="Times New Roman"/>
          <w:sz w:val="24"/>
          <w:szCs w:val="24"/>
        </w:rPr>
        <w:t>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C3202">
        <w:rPr>
          <w:rFonts w:ascii="Times New Roman" w:hAnsi="Times New Roman" w:cs="Times New Roman"/>
          <w:sz w:val="24"/>
          <w:szCs w:val="24"/>
        </w:rPr>
        <w:t>12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3C3202">
        <w:rPr>
          <w:rFonts w:ascii="Times New Roman" w:hAnsi="Times New Roman" w:cs="Times New Roman"/>
          <w:sz w:val="24"/>
          <w:szCs w:val="24"/>
        </w:rPr>
        <w:t>октября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2020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18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3C3202">
        <w:rPr>
          <w:rFonts w:ascii="Times New Roman" w:hAnsi="Times New Roman" w:cs="Times New Roman"/>
          <w:sz w:val="24"/>
          <w:szCs w:val="24"/>
        </w:rPr>
        <w:t>ноября</w:t>
      </w:r>
      <w:bookmarkStart w:id="0" w:name="_GoBack"/>
      <w:bookmarkEnd w:id="0"/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2020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Бабаевско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50" w:rsidRDefault="00782550" w:rsidP="00571C78">
      <w:pPr>
        <w:spacing w:after="0" w:line="240" w:lineRule="auto"/>
      </w:pPr>
      <w:r>
        <w:separator/>
      </w:r>
    </w:p>
  </w:endnote>
  <w:endnote w:type="continuationSeparator" w:id="0">
    <w:p w:rsidR="00782550" w:rsidRDefault="00782550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50" w:rsidRDefault="00782550" w:rsidP="00571C78">
      <w:pPr>
        <w:spacing w:after="0" w:line="240" w:lineRule="auto"/>
      </w:pPr>
      <w:r>
        <w:separator/>
      </w:r>
    </w:p>
  </w:footnote>
  <w:footnote w:type="continuationSeparator" w:id="0">
    <w:p w:rsidR="00782550" w:rsidRDefault="00782550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78" w:rsidRDefault="00571C7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1"/>
    <w:rsid w:val="000A62E5"/>
    <w:rsid w:val="0010770A"/>
    <w:rsid w:val="003C3202"/>
    <w:rsid w:val="00404C21"/>
    <w:rsid w:val="00571C78"/>
    <w:rsid w:val="0072782F"/>
    <w:rsid w:val="00782550"/>
    <w:rsid w:val="00880ABD"/>
    <w:rsid w:val="00930ABD"/>
    <w:rsid w:val="00931A58"/>
    <w:rsid w:val="00B93549"/>
    <w:rsid w:val="00D7550C"/>
    <w:rsid w:val="00E113A2"/>
    <w:rsid w:val="00E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8C23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4</cp:revision>
  <dcterms:created xsi:type="dcterms:W3CDTF">2019-01-16T16:57:00Z</dcterms:created>
  <dcterms:modified xsi:type="dcterms:W3CDTF">2020-09-30T11:13:00Z</dcterms:modified>
</cp:coreProperties>
</file>