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ermStart w:id="1131834423" w:edGrp="everyone"/>
      <w:permEnd w:id="1131834423"/>
      <w:r w:rsidRPr="002A4297">
        <w:rPr>
          <w:rFonts w:ascii="Times New Roman" w:eastAsia="Times New Roman" w:hAnsi="Times New Roman" w:cs="Times New Roman"/>
          <w:b/>
          <w:bCs/>
          <w:sz w:val="24"/>
          <w:szCs w:val="24"/>
          <w:lang w:eastAsia="ru-RU"/>
        </w:rPr>
        <w:t xml:space="preserve">ДОГОВОР № </w:t>
      </w:r>
      <w:permStart w:id="1047871550" w:edGrp="everyone"/>
      <w:r w:rsidRPr="002A4297">
        <w:rPr>
          <w:rFonts w:ascii="Times New Roman" w:eastAsia="Times New Roman" w:hAnsi="Times New Roman" w:cs="Times New Roman"/>
          <w:b/>
          <w:bCs/>
          <w:sz w:val="24"/>
          <w:szCs w:val="24"/>
          <w:lang w:eastAsia="ru-RU"/>
        </w:rPr>
        <w:t>_____</w:t>
      </w:r>
      <w:permEnd w:id="1047871550"/>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88831155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888311551"/>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263655127" w:edGrp="everyone"/>
      <w:permEnd w:id="263655127"/>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78843767"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78843767"/>
      <w:r w:rsidRPr="002A4297">
        <w:rPr>
          <w:rFonts w:ascii="Times New Roman" w:eastAsia="Times New Roman" w:hAnsi="Times New Roman" w:cs="Times New Roman"/>
          <w:sz w:val="24"/>
          <w:szCs w:val="24"/>
          <w:lang w:eastAsia="ru-RU"/>
        </w:rPr>
        <w:t xml:space="preserve">, действующего на основании </w:t>
      </w:r>
      <w:permStart w:id="461470224"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461470224"/>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350770752"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350770752"/>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962094981"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w:t>
      </w:r>
      <w:permEnd w:id="1962094981"/>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722575220"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0"/>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Pr="002A4297">
        <w:rPr>
          <w:rFonts w:ascii="Times New Roman" w:eastAsia="Times New Roman" w:hAnsi="Times New Roman" w:cs="Times New Roman"/>
          <w:sz w:val="24"/>
          <w:szCs w:val="24"/>
          <w:lang w:eastAsia="ru-RU"/>
        </w:rPr>
        <w:lastRenderedPageBreak/>
        <w:t>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5"/>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172257522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676408483" w:edGrp="everyone"/>
      <w:r w:rsidRPr="002A4297">
        <w:rPr>
          <w:rFonts w:ascii="Times New Roman" w:eastAsia="Times New Roman" w:hAnsi="Times New Roman" w:cs="Times New Roman"/>
          <w:sz w:val="24"/>
          <w:szCs w:val="24"/>
          <w:vertAlign w:val="superscript"/>
          <w:lang w:eastAsia="ru-RU"/>
        </w:rPr>
        <w:footnoteReference w:id="22"/>
      </w:r>
      <w:permEnd w:id="676408483"/>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444573326" w:edGrp="everyone"/>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444573326"/>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434805770" w:edGrp="everyone"/>
      <w:r w:rsidRPr="002A4297">
        <w:rPr>
          <w:rFonts w:ascii="Times New Roman" w:eastAsia="Times New Roman" w:hAnsi="Times New Roman" w:cs="Times New Roman"/>
          <w:sz w:val="24"/>
          <w:szCs w:val="24"/>
          <w:lang w:eastAsia="ru-RU"/>
        </w:rPr>
        <w:lastRenderedPageBreak/>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w:t>
      </w:r>
    </w:p>
    <w:permEnd w:id="1434805770"/>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097468616" w:edGrp="everyone"/>
      <w:r w:rsidRPr="002A4297">
        <w:rPr>
          <w:rFonts w:ascii="Times New Roman" w:eastAsia="Times New Roman" w:hAnsi="Times New Roman" w:cs="Times New Roman"/>
          <w:sz w:val="24"/>
          <w:szCs w:val="24"/>
          <w:lang w:eastAsia="ru-RU"/>
        </w:rPr>
        <w:t xml:space="preserve">Недвижимое имущество </w:t>
      </w:r>
      <w:permEnd w:id="1097468616"/>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160004083"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7"/>
      </w:r>
      <w:permEnd w:id="1160004083"/>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723939762"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8"/>
      </w:r>
      <w:permEnd w:id="1723939762"/>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78609073"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Стоимость Объекта составляет: ________ (____________) ________, кроме </w:t>
      </w:r>
      <w:r w:rsidRPr="002A4297">
        <w:rPr>
          <w:rFonts w:ascii="Times New Roman" w:eastAsia="Times New Roman" w:hAnsi="Times New Roman" w:cs="Times New Roman"/>
          <w:sz w:val="24"/>
          <w:szCs w:val="24"/>
          <w:lang w:eastAsia="ru-RU"/>
        </w:rPr>
        <w:lastRenderedPageBreak/>
        <w:t>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3"/>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w:t>
      </w:r>
      <w:bookmarkEnd w:id="3"/>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278609073"/>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w:t>
      </w:r>
      <w:r w:rsidRPr="002A4297">
        <w:rPr>
          <w:rFonts w:ascii="Times New Roman" w:eastAsia="Times New Roman" w:hAnsi="Times New Roman" w:cs="Times New Roman"/>
          <w:sz w:val="24"/>
          <w:szCs w:val="24"/>
          <w:lang w:eastAsia="ru-RU"/>
        </w:rPr>
        <w:lastRenderedPageBreak/>
        <w:t xml:space="preserve">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2052860996"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w:t>
      </w:r>
      <w:permEnd w:id="2052860996"/>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60241622" w:edGrp="everyone"/>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760241622"/>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425416566" w:edGrp="everyone"/>
      <w:r w:rsidRPr="002A4297">
        <w:rPr>
          <w:rFonts w:ascii="Times New Roman" w:eastAsia="Times New Roman" w:hAnsi="Times New Roman" w:cs="Times New Roman"/>
          <w:sz w:val="24"/>
          <w:szCs w:val="24"/>
          <w:lang w:eastAsia="ru-RU"/>
        </w:rPr>
        <w:t>Недвижимое имуще</w:t>
      </w:r>
      <w:proofErr w:type="spellStart"/>
      <w:r w:rsidRPr="002A4297">
        <w:rPr>
          <w:rFonts w:ascii="Times New Roman" w:eastAsia="Times New Roman" w:hAnsi="Times New Roman" w:cs="Times New Roman"/>
          <w:sz w:val="24"/>
          <w:szCs w:val="24"/>
          <w:lang w:eastAsia="ru-RU"/>
        </w:rPr>
        <w:t>ство</w:t>
      </w:r>
      <w:proofErr w:type="spellEnd"/>
      <w:r w:rsidRPr="002A4297">
        <w:rPr>
          <w:rFonts w:ascii="Times New Roman" w:eastAsia="Times New Roman" w:hAnsi="Times New Roman" w:cs="Times New Roman"/>
          <w:sz w:val="24"/>
          <w:szCs w:val="24"/>
          <w:vertAlign w:val="superscript"/>
          <w:lang w:eastAsia="ru-RU"/>
        </w:rPr>
        <w:footnoteReference w:id="47"/>
      </w:r>
      <w:permEnd w:id="1425416566"/>
      <w:r w:rsidRPr="002A4297">
        <w:rPr>
          <w:rFonts w:ascii="Times New Roman" w:eastAsia="Times New Roman" w:hAnsi="Times New Roman" w:cs="Times New Roman"/>
          <w:sz w:val="24"/>
          <w:szCs w:val="24"/>
          <w:lang w:eastAsia="ru-RU"/>
        </w:rPr>
        <w:t xml:space="preserve"> к Покупателю.</w:t>
      </w:r>
      <w:bookmarkEnd w:id="5"/>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369439870" w:edGrp="everyone"/>
      <w:r w:rsidRPr="002A4297">
        <w:rPr>
          <w:rFonts w:ascii="Times New Roman" w:eastAsia="Times New Roman" w:hAnsi="Times New Roman" w:cs="Times New Roman"/>
          <w:sz w:val="24"/>
          <w:szCs w:val="24"/>
          <w:vertAlign w:val="superscript"/>
          <w:lang w:eastAsia="ru-RU"/>
        </w:rPr>
        <w:lastRenderedPageBreak/>
        <w:footnoteReference w:id="48"/>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permEnd w:id="369439870"/>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176398189" w:edGrp="everyone"/>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6"/>
    <w:permEnd w:id="1176398189"/>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w:t>
      </w:r>
      <w:r w:rsidRPr="002A4297">
        <w:rPr>
          <w:rFonts w:ascii="Times New Roman" w:eastAsia="Times New Roman" w:hAnsi="Times New Roman" w:cs="Times New Roman"/>
          <w:sz w:val="24"/>
          <w:szCs w:val="24"/>
          <w:lang w:eastAsia="ru-RU"/>
        </w:rPr>
        <w:lastRenderedPageBreak/>
        <w:t xml:space="preserve">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67384871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1"/>
      </w:r>
      <w:permEnd w:id="673848716"/>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2"/>
      </w:r>
      <w:r w:rsidRPr="00D55627">
        <w:rPr>
          <w:rFonts w:ascii="Times New Roman" w:hAnsi="Times New Roman" w:cs="Times New Roman"/>
          <w:sz w:val="24"/>
        </w:rPr>
        <w:t xml:space="preserve"> любого </w:t>
      </w:r>
      <w:r w:rsidRPr="00D55627">
        <w:rPr>
          <w:rFonts w:ascii="Times New Roman" w:hAnsi="Times New Roman" w:cs="Times New Roman"/>
          <w:sz w:val="24"/>
        </w:rPr>
        <w:lastRenderedPageBreak/>
        <w:t>оборудования</w:t>
      </w:r>
      <w:r>
        <w:rPr>
          <w:rStyle w:val="af5"/>
        </w:rPr>
        <w:footnoteReference w:id="53"/>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4"/>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359465767" w:edGrp="everyone"/>
      <w:r w:rsidRPr="00D55627">
        <w:rPr>
          <w:rFonts w:ascii="Times New Roman" w:hAnsi="Times New Roman" w:cs="Times New Roman"/>
          <w:sz w:val="24"/>
        </w:rPr>
        <w:t>работников</w:t>
      </w:r>
      <w:r>
        <w:rPr>
          <w:rStyle w:val="af5"/>
        </w:rPr>
        <w:footnoteReference w:id="55"/>
      </w:r>
      <w:r w:rsidRPr="00D55627">
        <w:rPr>
          <w:rFonts w:ascii="Times New Roman" w:hAnsi="Times New Roman" w:cs="Times New Roman"/>
          <w:sz w:val="24"/>
        </w:rPr>
        <w:t xml:space="preserve"> </w:t>
      </w:r>
      <w:permEnd w:id="359465767"/>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2005671430" w:edGrp="everyone"/>
      <w:r w:rsidRPr="002A387A">
        <w:rPr>
          <w:rFonts w:ascii="Times New Roman" w:hAnsi="Times New Roman" w:cs="Times New Roman"/>
          <w:sz w:val="24"/>
          <w:szCs w:val="24"/>
        </w:rPr>
        <w:t>10 (десяти) %</w:t>
      </w:r>
      <w:r w:rsidRPr="002A387A">
        <w:rPr>
          <w:rStyle w:val="af5"/>
        </w:rPr>
        <w:footnoteReference w:id="56"/>
      </w:r>
      <w:r w:rsidRPr="002A387A">
        <w:rPr>
          <w:rStyle w:val="af5"/>
        </w:rPr>
        <w:t xml:space="preserve"> </w:t>
      </w:r>
      <w:permEnd w:id="2005671430"/>
      <w:r w:rsidRPr="002A387A">
        <w:rPr>
          <w:rFonts w:ascii="Times New Roman" w:hAnsi="Times New Roman" w:cs="Times New Roman"/>
          <w:sz w:val="24"/>
          <w:szCs w:val="24"/>
        </w:rPr>
        <w:t>от общей стоимости Договора</w:t>
      </w:r>
      <w:permStart w:id="1915820396" w:edGrp="everyone"/>
      <w:r w:rsidRPr="002A387A">
        <w:rPr>
          <w:rFonts w:ascii="Times New Roman" w:hAnsi="Times New Roman" w:cs="Times New Roman"/>
          <w:sz w:val="24"/>
          <w:szCs w:val="24"/>
        </w:rPr>
        <w:t xml:space="preserve">, </w:t>
      </w:r>
      <w:r w:rsidRPr="002A387A">
        <w:rPr>
          <w:rStyle w:val="af5"/>
        </w:rPr>
        <w:footnoteReference w:id="57"/>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915820396"/>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71561068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8"/>
      </w:r>
      <w:permEnd w:id="1715610688"/>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789266223" w:edGrp="everyone"/>
      <w:r w:rsidRPr="002A4297">
        <w:rPr>
          <w:rFonts w:ascii="Times New Roman" w:eastAsia="Times New Roman" w:hAnsi="Times New Roman" w:cs="Times New Roman"/>
          <w:sz w:val="24"/>
          <w:szCs w:val="24"/>
          <w:lang w:eastAsia="ru-RU"/>
        </w:rPr>
        <w:t xml:space="preserve">__ </w:t>
      </w:r>
      <w:permEnd w:id="789266223"/>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363426019" w:edGrp="everyone"/>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363426019"/>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1415157"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0"/>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1415157"/>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75657984" w:edGrp="everyone"/>
      <w:r w:rsidRPr="002A4297">
        <w:rPr>
          <w:rFonts w:ascii="Times New Roman" w:eastAsia="Times New Roman" w:hAnsi="Times New Roman" w:cs="Times New Roman"/>
          <w:sz w:val="24"/>
          <w:szCs w:val="24"/>
          <w:lang w:eastAsia="ru-RU"/>
        </w:rPr>
        <w:t>от_____ №_____</w:t>
      </w:r>
    </w:p>
    <w:permEnd w:id="275657984"/>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599982207"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4"/>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6"/>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599982207"/>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675768186" w:edGrp="everyone"/>
      <w:r w:rsidRPr="002A4297">
        <w:rPr>
          <w:rFonts w:ascii="Times New Roman" w:eastAsia="Times New Roman" w:hAnsi="Times New Roman" w:cs="Times New Roman"/>
          <w:sz w:val="24"/>
          <w:szCs w:val="24"/>
          <w:lang w:eastAsia="ru-RU"/>
        </w:rPr>
        <w:t>от_____ №_____</w:t>
      </w:r>
    </w:p>
    <w:permEnd w:id="1675768186"/>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63468624"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w:t>
      </w:r>
      <w:permEnd w:id="363468624"/>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36135290" w:edGrp="everyone"/>
      <w:r w:rsidRPr="00F0621D">
        <w:rPr>
          <w:rFonts w:ascii="Times New Roman" w:eastAsia="Times New Roman" w:hAnsi="Times New Roman" w:cs="Times New Roman"/>
          <w:iCs/>
          <w:sz w:val="24"/>
          <w:szCs w:val="24"/>
          <w:lang w:eastAsia="ru-RU"/>
        </w:rPr>
        <w:t xml:space="preserve">и посредники </w:t>
      </w:r>
      <w:permEnd w:id="136135290"/>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38759267" w:edGrp="everyone"/>
      <w:r w:rsidRPr="00F0621D">
        <w:rPr>
          <w:rFonts w:ascii="Times New Roman" w:eastAsia="Times New Roman" w:hAnsi="Times New Roman" w:cs="Times New Roman"/>
          <w:iCs/>
          <w:sz w:val="24"/>
          <w:szCs w:val="24"/>
          <w:lang w:eastAsia="ru-RU"/>
        </w:rPr>
        <w:t xml:space="preserve">или посредниками </w:t>
      </w:r>
      <w:permEnd w:id="38759267"/>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312244164" w:edGrp="everyone"/>
      <w:r w:rsidRPr="00F0621D">
        <w:rPr>
          <w:rFonts w:ascii="Times New Roman" w:eastAsia="Times New Roman" w:hAnsi="Times New Roman" w:cs="Times New Roman"/>
          <w:iCs/>
          <w:sz w:val="24"/>
          <w:szCs w:val="24"/>
          <w:lang w:eastAsia="ru-RU"/>
        </w:rPr>
        <w:t>10 (десяти) календарных дней</w:t>
      </w:r>
      <w:bookmarkStart w:id="11" w:name="_GoBack"/>
      <w:bookmarkEnd w:id="11"/>
      <w:r w:rsidRPr="00F0621D">
        <w:rPr>
          <w:rFonts w:ascii="Times New Roman" w:eastAsia="Times New Roman" w:hAnsi="Times New Roman" w:cs="Times New Roman"/>
          <w:iCs/>
          <w:sz w:val="24"/>
          <w:szCs w:val="24"/>
          <w:lang w:eastAsia="ru-RU"/>
        </w:rPr>
        <w:t xml:space="preserve"> </w:t>
      </w:r>
      <w:permEnd w:id="131224416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808669880"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808669880"/>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527785974" w:edGrp="everyone"/>
      <w:r w:rsidRPr="002A4297">
        <w:rPr>
          <w:rFonts w:ascii="Times New Roman" w:eastAsia="Times New Roman" w:hAnsi="Times New Roman" w:cs="Times New Roman"/>
          <w:b/>
          <w:sz w:val="24"/>
          <w:szCs w:val="24"/>
          <w:vertAlign w:val="superscript"/>
          <w:lang w:val="x-none" w:eastAsia="x-none"/>
        </w:rPr>
        <w:lastRenderedPageBreak/>
        <w:footnoteReference w:id="90"/>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1"/>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2"/>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27785974"/>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90" w:rsidRDefault="00613390" w:rsidP="002A4297">
      <w:pPr>
        <w:spacing w:after="0" w:line="240" w:lineRule="auto"/>
      </w:pPr>
      <w:r>
        <w:separator/>
      </w:r>
    </w:p>
  </w:endnote>
  <w:endnote w:type="continuationSeparator" w:id="0">
    <w:p w:rsidR="00613390" w:rsidRDefault="00613390"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90" w:rsidRDefault="00613390" w:rsidP="002A4297">
      <w:pPr>
        <w:spacing w:after="0" w:line="240" w:lineRule="auto"/>
      </w:pPr>
      <w:r>
        <w:separator/>
      </w:r>
    </w:p>
  </w:footnote>
  <w:footnote w:type="continuationSeparator" w:id="0">
    <w:p w:rsidR="00613390" w:rsidRDefault="00613390"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5">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9">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0">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4">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5">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6">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8">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rsidR="002857E1" w:rsidRPr="001B6F8F" w:rsidRDefault="002857E1" w:rsidP="002A4297">
      <w:pPr>
        <w:pStyle w:val="a9"/>
        <w:jc w:val="both"/>
      </w:pPr>
      <w:r w:rsidRPr="001B6F8F">
        <w:rPr>
          <w:rStyle w:val="af5"/>
        </w:rPr>
        <w:footnoteRef/>
      </w:r>
      <w:r w:rsidRPr="001B6F8F">
        <w:t xml:space="preserve"> Указать вид права.</w:t>
      </w:r>
    </w:p>
  </w:footnote>
  <w:footnote w:id="20">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1">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2">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4">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5">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6">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7">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8">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9">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0">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1">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2">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3">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5">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6">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7">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9">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1">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3">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4">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5">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7">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0">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1">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2">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3">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5">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6">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7">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8">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9">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0">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9">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0">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6">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7">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8">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79">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0">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1">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887520" w:rsidRDefault="002857E1" w:rsidP="009605AA">
      <w:pPr>
        <w:pStyle w:val="a9"/>
      </w:pPr>
      <w:r w:rsidRPr="00887520">
        <w:rPr>
          <w:rStyle w:val="af5"/>
        </w:rPr>
        <w:footnoteRef/>
      </w:r>
      <w:r w:rsidRPr="00887520">
        <w:t xml:space="preserve"> Если применимо.</w:t>
      </w:r>
    </w:p>
  </w:footnote>
  <w:footnote w:id="85">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6">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7">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8">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89">
    <w:p w:rsidR="002857E1" w:rsidRPr="001B6F8F" w:rsidRDefault="002857E1" w:rsidP="002A4297">
      <w:pPr>
        <w:pStyle w:val="a9"/>
        <w:jc w:val="both"/>
      </w:pPr>
      <w:r w:rsidRPr="001B6F8F">
        <w:rPr>
          <w:rStyle w:val="af5"/>
        </w:rPr>
        <w:footnoteRef/>
      </w:r>
      <w:r w:rsidRPr="001B6F8F">
        <w:t xml:space="preserve"> </w:t>
      </w:r>
      <w:r w:rsidRPr="001B6F8F">
        <w:t>Пункт указывается при необходимости.</w:t>
      </w:r>
    </w:p>
  </w:footnote>
  <w:footnote w:id="90">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1">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2">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161F51"/>
    <w:rsid w:val="001C327B"/>
    <w:rsid w:val="002466AB"/>
    <w:rsid w:val="002857E1"/>
    <w:rsid w:val="002A387A"/>
    <w:rsid w:val="002A4297"/>
    <w:rsid w:val="002E6EEE"/>
    <w:rsid w:val="003673B6"/>
    <w:rsid w:val="004325DD"/>
    <w:rsid w:val="0047375A"/>
    <w:rsid w:val="00483222"/>
    <w:rsid w:val="00487D4C"/>
    <w:rsid w:val="004C74CA"/>
    <w:rsid w:val="005E288F"/>
    <w:rsid w:val="00613390"/>
    <w:rsid w:val="006B210B"/>
    <w:rsid w:val="006B49B3"/>
    <w:rsid w:val="008A505F"/>
    <w:rsid w:val="00930A8B"/>
    <w:rsid w:val="009605AA"/>
    <w:rsid w:val="00967390"/>
    <w:rsid w:val="009B4C7B"/>
    <w:rsid w:val="009F2546"/>
    <w:rsid w:val="00AD12C6"/>
    <w:rsid w:val="00B85EC7"/>
    <w:rsid w:val="00C40E6D"/>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5701</Words>
  <Characters>32500</Characters>
  <Application>Microsoft Office Word</Application>
  <DocSecurity>8</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Ахтариев Ильдар Даниярович</cp:lastModifiedBy>
  <cp:revision>5</cp:revision>
  <dcterms:created xsi:type="dcterms:W3CDTF">2020-08-28T07:57:00Z</dcterms:created>
  <dcterms:modified xsi:type="dcterms:W3CDTF">2020-10-14T04:48:00Z</dcterms:modified>
</cp:coreProperties>
</file>