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3D47E52F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A0696A" w:rsidRPr="00A0696A">
        <w:rPr>
          <w:rFonts w:ascii="Times New Roman" w:hAnsi="Times New Roman"/>
          <w:sz w:val="24"/>
          <w:szCs w:val="24"/>
        </w:rPr>
        <w:t>761 +/- 14</w:t>
      </w:r>
      <w:r w:rsidR="00A24487">
        <w:rPr>
          <w:rFonts w:ascii="Times New Roman" w:hAnsi="Times New Roman"/>
          <w:sz w:val="24"/>
          <w:szCs w:val="24"/>
        </w:rPr>
        <w:t xml:space="preserve"> </w:t>
      </w:r>
      <w:r w:rsidR="00850226" w:rsidRPr="00850226">
        <w:rPr>
          <w:rFonts w:ascii="Times New Roman" w:hAnsi="Times New Roman"/>
          <w:sz w:val="24"/>
          <w:szCs w:val="24"/>
        </w:rPr>
        <w:t>кв.м.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766195" w:rsidRPr="00766195">
        <w:rPr>
          <w:rFonts w:ascii="Times New Roman" w:hAnsi="Times New Roman"/>
          <w:sz w:val="24"/>
          <w:szCs w:val="24"/>
        </w:rPr>
        <w:t>40:22:060401:18</w:t>
      </w:r>
      <w:r w:rsidR="00A0696A">
        <w:rPr>
          <w:rFonts w:ascii="Times New Roman" w:hAnsi="Times New Roman"/>
          <w:sz w:val="24"/>
          <w:szCs w:val="24"/>
        </w:rPr>
        <w:t>26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06168CDC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A0696A">
        <w:rPr>
          <w:rFonts w:ascii="Times New Roman" w:hAnsi="Times New Roman"/>
          <w:sz w:val="24"/>
          <w:szCs w:val="24"/>
        </w:rPr>
        <w:t>10</w:t>
      </w:r>
      <w:r w:rsidR="00727F67" w:rsidRPr="00727F67">
        <w:rPr>
          <w:rFonts w:ascii="Times New Roman" w:hAnsi="Times New Roman"/>
          <w:sz w:val="24"/>
          <w:szCs w:val="24"/>
        </w:rPr>
        <w:t>.10.2011</w:t>
      </w:r>
      <w:r w:rsidR="00727F67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A0696A" w:rsidRPr="00A0696A">
        <w:rPr>
          <w:rFonts w:ascii="Times New Roman" w:hAnsi="Times New Roman"/>
          <w:sz w:val="24"/>
          <w:szCs w:val="24"/>
        </w:rPr>
        <w:t>40-40-22/011/2011-268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4D4CEA3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BC321D" w:rsidRPr="00BC321D">
        <w:rPr>
          <w:rFonts w:ascii="Times New Roman" w:hAnsi="Times New Roman"/>
          <w:sz w:val="24"/>
          <w:szCs w:val="24"/>
        </w:rPr>
        <w:t xml:space="preserve">03.08.2013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BC321D" w:rsidRPr="00BC321D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6F5D7F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BC321D" w:rsidRPr="00BC321D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BC321D" w:rsidRPr="00BC321D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AD5EECA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BC321D" w:rsidRPr="00BC321D">
        <w:rPr>
          <w:rFonts w:ascii="Times New Roman" w:hAnsi="Times New Roman"/>
          <w:color w:val="000000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BC321D" w:rsidRPr="00BC321D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376D" w14:textId="77777777" w:rsidR="003307E1" w:rsidRDefault="003307E1" w:rsidP="009B3D55">
      <w:pPr>
        <w:spacing w:after="0" w:line="240" w:lineRule="auto"/>
      </w:pPr>
      <w:r>
        <w:separator/>
      </w:r>
    </w:p>
  </w:endnote>
  <w:endnote w:type="continuationSeparator" w:id="0">
    <w:p w14:paraId="2774A147" w14:textId="77777777" w:rsidR="003307E1" w:rsidRDefault="003307E1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266D1" w14:textId="77777777" w:rsidR="003307E1" w:rsidRDefault="003307E1" w:rsidP="009B3D55">
      <w:pPr>
        <w:spacing w:after="0" w:line="240" w:lineRule="auto"/>
      </w:pPr>
      <w:r>
        <w:separator/>
      </w:r>
    </w:p>
  </w:footnote>
  <w:footnote w:type="continuationSeparator" w:id="0">
    <w:p w14:paraId="3495B238" w14:textId="77777777" w:rsidR="003307E1" w:rsidRDefault="003307E1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07E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27F67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66195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0696A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321D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6193"/>
    <w:rsid w:val="00DC1778"/>
    <w:rsid w:val="00DC5002"/>
    <w:rsid w:val="00DD2BED"/>
    <w:rsid w:val="00DE648D"/>
    <w:rsid w:val="00DF2C42"/>
    <w:rsid w:val="00E04A66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4F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91E9-E60E-4E59-AFB9-A3655297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27</cp:revision>
  <cp:lastPrinted>2013-12-10T16:49:00Z</cp:lastPrinted>
  <dcterms:created xsi:type="dcterms:W3CDTF">2019-10-07T08:15:00Z</dcterms:created>
  <dcterms:modified xsi:type="dcterms:W3CDTF">2020-10-19T07:59:00Z</dcterms:modified>
</cp:coreProperties>
</file>