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4E2AC6">
        <w:rPr>
          <w:rFonts w:ascii="Times New Roman" w:hAnsi="Times New Roman" w:cs="Times New Roman"/>
          <w:sz w:val="22"/>
          <w:szCs w:val="22"/>
          <w:shd w:val="clear" w:color="auto" w:fill="FFFFFF"/>
        </w:rPr>
        <w:t>22.09</w:t>
      </w:r>
      <w:r w:rsidR="0083460F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>.20</w:t>
      </w:r>
      <w:r w:rsidR="004E2AC6">
        <w:rPr>
          <w:rFonts w:ascii="Times New Roman" w:hAnsi="Times New Roman" w:cs="Times New Roman"/>
          <w:sz w:val="22"/>
          <w:szCs w:val="22"/>
          <w:shd w:val="clear" w:color="auto" w:fill="FFFFFF"/>
        </w:rPr>
        <w:t>20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p w:rsidR="001329CE" w:rsidRPr="006E2F7D" w:rsidRDefault="00825350" w:rsidP="006E2F7D">
      <w:pPr>
        <w:pStyle w:val="Default"/>
        <w:ind w:firstLine="708"/>
        <w:jc w:val="both"/>
        <w:rPr>
          <w:sz w:val="22"/>
          <w:szCs w:val="22"/>
        </w:rPr>
      </w:pPr>
      <w:r w:rsidRPr="006E2F7D">
        <w:rPr>
          <w:b/>
          <w:sz w:val="22"/>
          <w:szCs w:val="22"/>
        </w:rPr>
        <w:t>ООО «</w:t>
      </w:r>
      <w:proofErr w:type="spellStart"/>
      <w:r w:rsidR="004E2AC6" w:rsidRPr="004E2AC6">
        <w:rPr>
          <w:b/>
          <w:sz w:val="22"/>
          <w:szCs w:val="22"/>
        </w:rPr>
        <w:t>Стройгрупп</w:t>
      </w:r>
      <w:proofErr w:type="spellEnd"/>
      <w:r w:rsidR="004E2AC6" w:rsidRPr="004E2AC6">
        <w:rPr>
          <w:b/>
          <w:sz w:val="22"/>
          <w:szCs w:val="22"/>
        </w:rPr>
        <w:t>-Регион»</w:t>
      </w:r>
      <w:r w:rsidR="004E2AC6" w:rsidRPr="00205F7D">
        <w:rPr>
          <w:sz w:val="22"/>
          <w:szCs w:val="22"/>
        </w:rPr>
        <w:t xml:space="preserve"> (160028, Вологодская обл., г. Вологда, территория 6 км Ленинградского шоссе, ИНН 3525293627, ОГРН 1133525001543)</w:t>
      </w:r>
      <w:r w:rsidRPr="006E2F7D">
        <w:rPr>
          <w:sz w:val="22"/>
          <w:szCs w:val="22"/>
        </w:rPr>
        <w:t>, именуем</w:t>
      </w:r>
      <w:r w:rsidR="0083460F" w:rsidRPr="006E2F7D">
        <w:rPr>
          <w:sz w:val="22"/>
          <w:szCs w:val="22"/>
        </w:rPr>
        <w:t>ое</w:t>
      </w:r>
      <w:r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Pr="006E2F7D">
        <w:rPr>
          <w:sz w:val="22"/>
          <w:szCs w:val="22"/>
        </w:rPr>
        <w:t xml:space="preserve">», в лице конкурсного управляющего </w:t>
      </w:r>
      <w:r w:rsidR="004E2AC6">
        <w:rPr>
          <w:sz w:val="22"/>
          <w:szCs w:val="22"/>
        </w:rPr>
        <w:t>Баранова Антона Сергеевича</w:t>
      </w:r>
      <w:r w:rsidRPr="006E2F7D">
        <w:rPr>
          <w:sz w:val="22"/>
          <w:szCs w:val="22"/>
        </w:rPr>
        <w:t xml:space="preserve">, действующего на основании </w:t>
      </w:r>
      <w:r w:rsidR="004E2AC6">
        <w:rPr>
          <w:sz w:val="22"/>
          <w:szCs w:val="22"/>
        </w:rPr>
        <w:t>определения</w:t>
      </w:r>
      <w:r w:rsidRPr="006E2F7D">
        <w:rPr>
          <w:sz w:val="22"/>
          <w:szCs w:val="22"/>
        </w:rPr>
        <w:t xml:space="preserve"> Арбитражного суда </w:t>
      </w:r>
      <w:r w:rsidR="00FF4204">
        <w:rPr>
          <w:sz w:val="22"/>
          <w:szCs w:val="22"/>
        </w:rPr>
        <w:t>Вологодской</w:t>
      </w:r>
      <w:r w:rsidRPr="006E2F7D">
        <w:rPr>
          <w:sz w:val="22"/>
          <w:szCs w:val="22"/>
        </w:rPr>
        <w:t xml:space="preserve"> области от </w:t>
      </w:r>
      <w:r w:rsidR="004E2AC6">
        <w:rPr>
          <w:sz w:val="22"/>
          <w:szCs w:val="22"/>
        </w:rPr>
        <w:t>11.03.2020</w:t>
      </w:r>
      <w:r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</w:t>
      </w:r>
      <w:r w:rsidR="00176421">
        <w:rPr>
          <w:sz w:val="22"/>
          <w:szCs w:val="22"/>
        </w:rPr>
        <w:t>9</w:t>
      </w:r>
      <w:r w:rsidR="004E2AC6">
        <w:rPr>
          <w:sz w:val="22"/>
          <w:szCs w:val="22"/>
        </w:rPr>
        <w:t>245/2018</w:t>
      </w:r>
      <w:r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FF4204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 xml:space="preserve">, </w:t>
      </w:r>
      <w:r w:rsidR="00FF4204">
        <w:rPr>
          <w:rFonts w:ascii="Times New Roman" w:hAnsi="Times New Roman" w:cs="Times New Roman"/>
          <w:sz w:val="22"/>
          <w:szCs w:val="22"/>
        </w:rPr>
        <w:t xml:space="preserve">согласно Положению №1 от </w:t>
      </w:r>
      <w:r w:rsidR="00176421">
        <w:rPr>
          <w:rFonts w:ascii="Times New Roman" w:hAnsi="Times New Roman" w:cs="Times New Roman"/>
          <w:sz w:val="22"/>
          <w:szCs w:val="22"/>
        </w:rPr>
        <w:t>0</w:t>
      </w:r>
      <w:r w:rsidR="004E2AC6">
        <w:rPr>
          <w:rFonts w:ascii="Times New Roman" w:hAnsi="Times New Roman" w:cs="Times New Roman"/>
          <w:sz w:val="22"/>
          <w:szCs w:val="22"/>
        </w:rPr>
        <w:t>7</w:t>
      </w:r>
      <w:r w:rsidR="00176421">
        <w:rPr>
          <w:rFonts w:ascii="Times New Roman" w:hAnsi="Times New Roman" w:cs="Times New Roman"/>
          <w:sz w:val="22"/>
          <w:szCs w:val="22"/>
        </w:rPr>
        <w:t>.</w:t>
      </w:r>
      <w:r w:rsidR="004E2AC6">
        <w:rPr>
          <w:rFonts w:ascii="Times New Roman" w:hAnsi="Times New Roman" w:cs="Times New Roman"/>
          <w:sz w:val="22"/>
          <w:szCs w:val="22"/>
        </w:rPr>
        <w:t>09</w:t>
      </w:r>
      <w:r w:rsidR="00FF4204">
        <w:rPr>
          <w:rFonts w:ascii="Times New Roman" w:hAnsi="Times New Roman" w:cs="Times New Roman"/>
          <w:sz w:val="22"/>
          <w:szCs w:val="22"/>
        </w:rPr>
        <w:t>.20</w:t>
      </w:r>
      <w:r w:rsidR="004E2AC6">
        <w:rPr>
          <w:rFonts w:ascii="Times New Roman" w:hAnsi="Times New Roman" w:cs="Times New Roman"/>
          <w:sz w:val="22"/>
          <w:szCs w:val="22"/>
        </w:rPr>
        <w:t>20</w:t>
      </w:r>
      <w:r w:rsidR="00FF4204">
        <w:rPr>
          <w:rFonts w:ascii="Times New Roman" w:hAnsi="Times New Roman" w:cs="Times New Roman"/>
          <w:sz w:val="22"/>
          <w:szCs w:val="22"/>
        </w:rPr>
        <w:t xml:space="preserve"> о порядке и условиях продажи имущества ООО «</w:t>
      </w:r>
      <w:proofErr w:type="spellStart"/>
      <w:r w:rsidR="004E2AC6" w:rsidRPr="004E2AC6">
        <w:rPr>
          <w:rFonts w:ascii="Times New Roman" w:hAnsi="Times New Roman" w:cs="Times New Roman"/>
          <w:sz w:val="22"/>
          <w:szCs w:val="22"/>
        </w:rPr>
        <w:t>Стройгрупп</w:t>
      </w:r>
      <w:proofErr w:type="spellEnd"/>
      <w:r w:rsidR="004E2AC6" w:rsidRPr="004E2AC6">
        <w:rPr>
          <w:rFonts w:ascii="Times New Roman" w:hAnsi="Times New Roman" w:cs="Times New Roman"/>
          <w:sz w:val="22"/>
          <w:szCs w:val="22"/>
        </w:rPr>
        <w:t>-Регион</w:t>
      </w:r>
      <w:r w:rsidR="00FF4204">
        <w:rPr>
          <w:rFonts w:ascii="Times New Roman" w:hAnsi="Times New Roman" w:cs="Times New Roman"/>
          <w:sz w:val="22"/>
          <w:szCs w:val="22"/>
        </w:rPr>
        <w:t>» (</w:t>
      </w:r>
      <w:r w:rsidR="004E2AC6">
        <w:rPr>
          <w:rFonts w:ascii="Times New Roman" w:hAnsi="Times New Roman" w:cs="Times New Roman"/>
          <w:sz w:val="22"/>
          <w:szCs w:val="22"/>
        </w:rPr>
        <w:t>2</w:t>
      </w:r>
      <w:r w:rsidR="00FF4204">
        <w:rPr>
          <w:rFonts w:ascii="Times New Roman" w:hAnsi="Times New Roman" w:cs="Times New Roman"/>
          <w:sz w:val="22"/>
          <w:szCs w:val="22"/>
        </w:rPr>
        <w:t xml:space="preserve"> лот</w:t>
      </w:r>
      <w:r w:rsidR="004E2AC6">
        <w:rPr>
          <w:rFonts w:ascii="Times New Roman" w:hAnsi="Times New Roman" w:cs="Times New Roman"/>
          <w:sz w:val="22"/>
          <w:szCs w:val="22"/>
        </w:rPr>
        <w:t>а</w:t>
      </w:r>
      <w:r w:rsidR="00FF4204">
        <w:rPr>
          <w:rFonts w:ascii="Times New Roman" w:hAnsi="Times New Roman" w:cs="Times New Roman"/>
          <w:sz w:val="22"/>
          <w:szCs w:val="22"/>
        </w:rPr>
        <w:t>)</w:t>
      </w:r>
    </w:p>
    <w:p w:rsidR="00FF4204" w:rsidRDefault="00FF4204" w:rsidP="00FF4204">
      <w:pPr>
        <w:pStyle w:val="ConsNonformat"/>
        <w:widowControl/>
        <w:ind w:left="567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</w:t>
      </w:r>
      <w:r w:rsidRPr="006E2F7D">
        <w:rPr>
          <w:rFonts w:ascii="Times New Roman" w:hAnsi="Times New Roman" w:cs="Times New Roman"/>
          <w:sz w:val="22"/>
          <w:szCs w:val="22"/>
        </w:rPr>
        <w:lastRenderedPageBreak/>
        <w:t>заявок, протокол</w:t>
      </w:r>
      <w:r w:rsidRPr="006E2F7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0D0539" w:rsidRPr="000D0539" w:rsidRDefault="00383A99" w:rsidP="0052307B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0D0539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0D0539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0D0539">
        <w:rPr>
          <w:rFonts w:ascii="Times New Roman" w:hAnsi="Times New Roman" w:cs="Times New Roman"/>
          <w:sz w:val="22"/>
          <w:szCs w:val="22"/>
        </w:rPr>
        <w:t>1 000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0D0539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0D0539">
        <w:rPr>
          <w:rFonts w:ascii="Times New Roman" w:hAnsi="Times New Roman" w:cs="Times New Roman"/>
          <w:sz w:val="22"/>
          <w:szCs w:val="22"/>
        </w:rPr>
        <w:t>руб. 00 коп.</w:t>
      </w:r>
      <w:r w:rsidR="00176421">
        <w:rPr>
          <w:rFonts w:ascii="Times New Roman" w:hAnsi="Times New Roman" w:cs="Times New Roman"/>
          <w:sz w:val="22"/>
          <w:szCs w:val="22"/>
        </w:rPr>
        <w:t xml:space="preserve"> за каждые торги.</w:t>
      </w:r>
      <w:r w:rsidR="0083460F" w:rsidRPr="000D0539">
        <w:rPr>
          <w:rFonts w:ascii="Times New Roman" w:hAnsi="Times New Roman" w:cs="Times New Roman"/>
          <w:sz w:val="22"/>
          <w:szCs w:val="22"/>
        </w:rPr>
        <w:t xml:space="preserve"> </w:t>
      </w:r>
      <w:r w:rsidR="009C6CAD" w:rsidRPr="000D05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6E2F7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6E2F7D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6E2F7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FF4204">
        <w:rPr>
          <w:rFonts w:ascii="Times New Roman" w:hAnsi="Times New Roman" w:cs="Times New Roman"/>
          <w:sz w:val="22"/>
          <w:szCs w:val="22"/>
        </w:rPr>
        <w:t>2</w:t>
      </w:r>
      <w:r w:rsidR="004E2AC6">
        <w:rPr>
          <w:rFonts w:ascii="Times New Roman" w:hAnsi="Times New Roman" w:cs="Times New Roman"/>
          <w:sz w:val="22"/>
          <w:szCs w:val="22"/>
        </w:rPr>
        <w:t>2.09.2020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FF4204">
        <w:rPr>
          <w:rFonts w:ascii="Times New Roman" w:hAnsi="Times New Roman" w:cs="Times New Roman"/>
          <w:sz w:val="22"/>
          <w:szCs w:val="22"/>
        </w:rPr>
        <w:t>2</w:t>
      </w:r>
      <w:r w:rsidR="004E2AC6">
        <w:rPr>
          <w:rFonts w:ascii="Times New Roman" w:hAnsi="Times New Roman" w:cs="Times New Roman"/>
          <w:sz w:val="22"/>
          <w:szCs w:val="22"/>
        </w:rPr>
        <w:t>2.09.2021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6E2F7D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6E2F7D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7. НЕДОПУСТИМОСТЬ ПРОТИВОРЕЧИЙ ИНТЕРЕСОВ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4E2AC6" w:rsidRPr="004E2AC6" w:rsidRDefault="004E2AC6" w:rsidP="004E2AC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</w:t>
            </w:r>
            <w:r w:rsidRPr="004E2AC6">
              <w:rPr>
                <w:b/>
                <w:sz w:val="22"/>
                <w:szCs w:val="22"/>
                <w:lang w:eastAsia="en-US"/>
              </w:rPr>
              <w:t xml:space="preserve"> «СГ-Р»</w:t>
            </w:r>
          </w:p>
          <w:p w:rsidR="004E2AC6" w:rsidRDefault="004E2AC6" w:rsidP="004E2AC6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205F7D">
              <w:rPr>
                <w:sz w:val="22"/>
                <w:szCs w:val="22"/>
              </w:rPr>
              <w:t>3525293627</w:t>
            </w:r>
            <w:r w:rsidRPr="008E1BA8">
              <w:rPr>
                <w:sz w:val="22"/>
                <w:szCs w:val="22"/>
              </w:rPr>
              <w:t xml:space="preserve">, </w:t>
            </w:r>
          </w:p>
          <w:p w:rsidR="004E2AC6" w:rsidRDefault="004E2AC6" w:rsidP="004E2AC6">
            <w:pPr>
              <w:jc w:val="both"/>
              <w:rPr>
                <w:sz w:val="22"/>
                <w:szCs w:val="22"/>
              </w:rPr>
            </w:pPr>
            <w:r w:rsidRPr="008E1BA8">
              <w:rPr>
                <w:sz w:val="22"/>
                <w:szCs w:val="22"/>
              </w:rPr>
              <w:t>р/с:</w:t>
            </w:r>
            <w:r w:rsidRPr="004E2AC6">
              <w:rPr>
                <w:sz w:val="22"/>
                <w:szCs w:val="22"/>
              </w:rPr>
              <w:t xml:space="preserve"> </w:t>
            </w:r>
            <w:r w:rsidRPr="008E1BA8">
              <w:rPr>
                <w:sz w:val="22"/>
                <w:szCs w:val="22"/>
              </w:rPr>
              <w:t xml:space="preserve">40702810312000016782, </w:t>
            </w:r>
          </w:p>
          <w:p w:rsidR="004E2AC6" w:rsidRDefault="004E2AC6" w:rsidP="004E2AC6">
            <w:pPr>
              <w:jc w:val="both"/>
              <w:rPr>
                <w:sz w:val="22"/>
                <w:szCs w:val="22"/>
              </w:rPr>
            </w:pPr>
            <w:r w:rsidRPr="008E1BA8">
              <w:rPr>
                <w:sz w:val="22"/>
                <w:szCs w:val="22"/>
              </w:rPr>
              <w:t>банк: Вологодское отделение №8638</w:t>
            </w:r>
          </w:p>
          <w:p w:rsidR="004E2AC6" w:rsidRDefault="004E2AC6" w:rsidP="004E2AC6">
            <w:pPr>
              <w:jc w:val="both"/>
              <w:rPr>
                <w:sz w:val="22"/>
                <w:szCs w:val="22"/>
              </w:rPr>
            </w:pPr>
            <w:r w:rsidRPr="008E1BA8">
              <w:rPr>
                <w:sz w:val="22"/>
                <w:szCs w:val="22"/>
              </w:rPr>
              <w:t xml:space="preserve">ПАО Сбербанк, </w:t>
            </w:r>
          </w:p>
          <w:p w:rsidR="004E2AC6" w:rsidRDefault="004E2AC6" w:rsidP="004E2AC6">
            <w:pPr>
              <w:jc w:val="both"/>
              <w:rPr>
                <w:sz w:val="22"/>
                <w:szCs w:val="22"/>
              </w:rPr>
            </w:pPr>
            <w:r w:rsidRPr="008E1BA8">
              <w:rPr>
                <w:sz w:val="22"/>
                <w:szCs w:val="22"/>
              </w:rPr>
              <w:t xml:space="preserve">к/с: 30101810900000000644, </w:t>
            </w:r>
          </w:p>
          <w:p w:rsidR="004E2AC6" w:rsidRPr="006C29AC" w:rsidRDefault="004E2AC6" w:rsidP="004E2AC6">
            <w:pPr>
              <w:jc w:val="both"/>
              <w:rPr>
                <w:sz w:val="22"/>
                <w:szCs w:val="22"/>
              </w:rPr>
            </w:pPr>
            <w:r w:rsidRPr="008E1BA8">
              <w:rPr>
                <w:sz w:val="22"/>
                <w:szCs w:val="22"/>
              </w:rPr>
              <w:t>БИК: 041909644.</w:t>
            </w:r>
          </w:p>
          <w:p w:rsidR="00176421" w:rsidRPr="006E2F7D" w:rsidRDefault="00176421" w:rsidP="00825350">
            <w:pPr>
              <w:pStyle w:val="a3"/>
              <w:ind w:right="-2"/>
              <w:rPr>
                <w:color w:val="000000"/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_________________________/ </w:t>
            </w:r>
            <w:r w:rsidR="004E2AC6">
              <w:rPr>
                <w:sz w:val="22"/>
                <w:szCs w:val="22"/>
              </w:rPr>
              <w:t>Баранов А.С.</w:t>
            </w:r>
            <w:bookmarkStart w:id="0" w:name="_GoBack"/>
            <w:bookmarkEnd w:id="0"/>
            <w:r w:rsidRPr="006E2F7D">
              <w:rPr>
                <w:sz w:val="22"/>
                <w:szCs w:val="22"/>
              </w:rPr>
              <w:t xml:space="preserve">                    </w:t>
            </w:r>
          </w:p>
          <w:p w:rsidR="001329CE" w:rsidRPr="006E2F7D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E2F7D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1329CE" w:rsidRPr="006E2F7D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ИНН</w:t>
            </w:r>
            <w:r w:rsidR="001329CE" w:rsidRPr="006E2F7D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3525388420</w:t>
            </w:r>
          </w:p>
          <w:p w:rsidR="00D828A1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банк: </w:t>
            </w:r>
            <w:r w:rsidR="00D828A1"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E2F7D" w:rsidRDefault="00D828A1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г. Вологда</w:t>
            </w:r>
            <w:r w:rsidR="007A081A"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р/с: </w:t>
            </w:r>
            <w:r w:rsidR="00D828A1" w:rsidRPr="006E2F7D">
              <w:rPr>
                <w:sz w:val="22"/>
                <w:szCs w:val="22"/>
              </w:rPr>
              <w:t>40702810412000016352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к/с</w:t>
            </w:r>
            <w:r w:rsidR="00954349" w:rsidRPr="006E2F7D">
              <w:rPr>
                <w:sz w:val="22"/>
                <w:szCs w:val="22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30101810900000000644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БИК: 04</w:t>
            </w:r>
            <w:r w:rsidR="00954349" w:rsidRPr="006E2F7D">
              <w:rPr>
                <w:sz w:val="22"/>
                <w:szCs w:val="22"/>
              </w:rPr>
              <w:t>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176421" w:rsidRPr="006E2F7D" w:rsidRDefault="00176421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6E2F7D" w:rsidRDefault="001329CE" w:rsidP="00AA7C5B">
      <w:pPr>
        <w:rPr>
          <w:sz w:val="22"/>
          <w:szCs w:val="22"/>
        </w:rPr>
      </w:pPr>
    </w:p>
    <w:sectPr w:rsidR="001329CE" w:rsidRPr="006E2F7D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D0539"/>
    <w:rsid w:val="000E2EAF"/>
    <w:rsid w:val="001329CE"/>
    <w:rsid w:val="00176421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2AC6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2019-09-30T12:18:00Z</cp:lastPrinted>
  <dcterms:created xsi:type="dcterms:W3CDTF">2019-11-18T10:04:00Z</dcterms:created>
  <dcterms:modified xsi:type="dcterms:W3CDTF">2020-09-22T14:28:00Z</dcterms:modified>
</cp:coreProperties>
</file>