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лит.В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(812)334-26-04, 8(800)777-57-57,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ka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val="en-US" w:eastAsia="ru-RU"/>
        </w:rPr>
        <w:t>upinen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@auction-house.ru) (далее-Организатор торгов, ОТ), действующее на основании договора поручения с ООО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«СТРОИТЕЛЬНО-МОНТАЖНЫЙ ПОЕЗД № 321-СПЕЦТРАНССТРОЙ» (ООО «СМП №321-СТС») 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(105118, г. Москва, ул.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Буракова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17/2, ОГРН: 1047796571591, ИНН: 7720511523, КПП: 772001001) (далее – Должник), в лице конкурсного управляющего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Куштаева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 Фархада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Таскалиевича</w:t>
      </w:r>
      <w:proofErr w:type="spellEnd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(ИНН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743902044327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СНИЛС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134-418-239 42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рег. номер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18989, 119634 г. Москва ул.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Лукинская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 д. 8 корп. 1 кв. 1 тел.</w:t>
      </w:r>
      <w:r>
        <w:rPr>
          <w:rFonts w:ascii="Times New Roman" w:eastAsia="Times New Roman" w:hAnsi="Times New Roman"/>
          <w:b/>
          <w:bCs/>
          <w:iCs/>
          <w:color w:val="000000"/>
          <w:sz w:val="16"/>
          <w:szCs w:val="16"/>
          <w:shd w:val="clear" w:color="auto" w:fill="FFFFFF"/>
          <w:lang w:eastAsia="ru-RU"/>
        </w:rPr>
        <w:t xml:space="preserve"> 89823684866, 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fldChar w:fldCharType="begin"/>
      </w:r>
      <w:r w:rsidRPr="00007715"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instrText xml:space="preserve"> </w:instrTex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instrText>HYPERLINK</w:instrText>
      </w:r>
      <w:r w:rsidRPr="00007715"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instrText xml:space="preserve"> "</w:instrTex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instrText>mailto</w:instrText>
      </w:r>
      <w:r w:rsidRPr="00007715"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instrText>:</w:instrTex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instrText>f</w:instrText>
      </w:r>
      <w:r w:rsidRPr="00007715"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instrText>.</w:instrTex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instrText>kushtaev</w:instrText>
      </w:r>
      <w:r w:rsidRPr="00007715"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instrText>@</w:instrTex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instrText>yandex</w:instrText>
      </w:r>
      <w:r w:rsidRPr="00007715"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instrText>.</w:instrTex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instrText>ru</w:instrText>
      </w:r>
      <w:r w:rsidRPr="00007715"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instrText xml:space="preserve">" </w:instrTex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fldChar w:fldCharType="separate"/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t>f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t>.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t>kushtaev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t>@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t>yandex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eastAsia="ru-RU"/>
        </w:rPr>
        <w:t>.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t>ru</w:t>
      </w:r>
      <w:r>
        <w:rPr>
          <w:rStyle w:val="a3"/>
          <w:rFonts w:ascii="Times New Roman" w:eastAsia="Times New Roman" w:hAnsi="Times New Roman"/>
          <w:b/>
          <w:bCs/>
          <w:iCs/>
          <w:sz w:val="16"/>
          <w:szCs w:val="16"/>
          <w:shd w:val="clear" w:color="auto" w:fill="FFFFFF"/>
          <w:lang w:val="en-US" w:eastAsia="ru-RU"/>
        </w:rPr>
        <w:fldChar w:fldCharType="end"/>
      </w:r>
      <w:r>
        <w:rPr>
          <w:rFonts w:ascii="Times New Roman" w:eastAsia="Times New Roman" w:hAnsi="Times New Roman"/>
          <w:b/>
          <w:bCs/>
          <w:iCs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член Ассоциации "Саморегулируемая организация арбитражных управляющих "Меркурий" (ОГРН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1037710023108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ИНН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7710458616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адрес: 125047, Российская Федерация, г. Москва, ул. 4-я Тверская-Ямская, д. 2/11, стр. 2, тел. (495)748-04-15, </w: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fldChar w:fldCharType="begin"/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 xml:space="preserve"> 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instrText>HYPERLINK</w:instrText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 xml:space="preserve"> "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instrText>http</w:instrText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>://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instrText>www</w:instrText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>.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instrText>soautpprf</w:instrText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>.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instrText>ru</w:instrText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>/" \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instrText>t</w:instrText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 xml:space="preserve"> "_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instrText>blank</w:instrText>
      </w:r>
      <w:r w:rsidRPr="00007715"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instrText xml:space="preserve">" </w:instrTex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fldChar w:fldCharType="separate"/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t>www</w: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t>.</w: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t>soautpprf</w:t>
      </w:r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eastAsia="ru-RU"/>
        </w:rPr>
        <w:t>.</w:t>
      </w:r>
      <w:proofErr w:type="spellStart"/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t>ru</w:t>
      </w:r>
      <w:proofErr w:type="spellEnd"/>
      <w:r>
        <w:rPr>
          <w:rStyle w:val="a3"/>
          <w:rFonts w:ascii="Times New Roman" w:eastAsia="Times New Roman" w:hAnsi="Times New Roman"/>
          <w:b/>
          <w:bCs/>
          <w:sz w:val="16"/>
          <w:szCs w:val="16"/>
          <w:shd w:val="clear" w:color="auto" w:fill="FFFFFF"/>
          <w:lang w:val="en-US" w:eastAsia="ru-RU"/>
        </w:rPr>
        <w:fldChar w:fldCharType="end"/>
      </w:r>
      <w:r>
        <w:rPr>
          <w:rFonts w:ascii="Times New Roman" w:eastAsia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(далее – Конкурный управляющий), действующий на основании Определения Арбитражного суда города г. Москвы от 10.06.2020 по делу </w:t>
      </w:r>
      <w:r>
        <w:rPr>
          <w:rFonts w:ascii="Times New Roman" w:eastAsia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А40-111875/18-101-139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сообщает о проведении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20.11.2020 г. в 10 час.00 мин.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 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Начало приема заявок на участие в торгах с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09 час. 00 мин. (время </w:t>
      </w:r>
      <w:proofErr w:type="spellStart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) 12.10.2020 г. по 18.11.2020 г. до 23 час 00 мин.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19.11.2020 в 17 час. 00 мин.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В случае, если по итогам Торгов 1, назначенных на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20.11.2020 г.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Лот не реализован, ОТ сообщает о проведении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13.01.2021 г. 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в 09 час. 00 мин. повторных открытых электронных торгов (далее – Торги 2) на ЭП со снижением начальной цены Лота на 10 (Десять) %. Начало приема заявок на участие в Торгах 2 с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09 час. 00 мин. (время </w:t>
      </w:r>
      <w:proofErr w:type="spellStart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) 30.11.2020 по 11.01.2021 до 23 час 00 мин.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12.01.2021 в 17 час. 00 мин.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В случае, если по итогам Торгов 2, назначенных на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13.01.2021 г.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, Лот не реализован, ОТ сообщает о проведении торгов в электронной форме посредством публичного предложения (далее - Торги ППП).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Начало приема заявок – </w:t>
      </w:r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18.01.2021 с 17 час.00 мин. (</w:t>
      </w:r>
      <w:proofErr w:type="spellStart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/>
          <w:b/>
          <w:color w:val="000000"/>
          <w:sz w:val="16"/>
          <w:szCs w:val="16"/>
          <w:shd w:val="clear" w:color="auto" w:fill="FFFFFF"/>
          <w:lang w:eastAsia="ru-RU"/>
        </w:rPr>
        <w:t>).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2 (два) к/дней, без изменения начальной цены, начиная со 2-го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периода  -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2 (два) к/дней, величина снижения – 10 (десять)% от цены продажи на предыдущем периоде. Минимальная цена (цена отсечения) Лота – 50 % от начальной цены продажи на повторных торгах.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Лот №2 - Автомобиль МАЗ-6430А8-360-020, гос. рег. знак У933АК197, VIN Y3M6430А880000275, технически не исправен, не комплект, год выпуска 2008, ПТС 77ТХ 607941 СТС 77ТЕ 955735, находящийся по адресу Московская область Пушкинский район с.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Ельдигино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 Начальная цена Лота - 159 083,00 руб.  (НДС не обл.).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Ознакомление с Лотом производится по предварительной договоренности в рабочие дни с 10:00 часов по 16:00 часов, по адресу места нахождения: тел 89670200505 (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Бахтияров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Равиль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Наилович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), а также у ОТ тел. 8(812)334-20-50 (с 9.00 до 18.00 по МСК в будние дни)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inform</w:t>
      </w: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val="en-US" w:eastAsia="ru-RU"/>
        </w:rPr>
        <w:t>msk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@auction-house.ru. 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Для Торгов 1 и Торгов 2: 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Для Торгов ППП: Задаток - 10 % от нач.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Реквизиты расчетного счета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Организатора торгов, является выписка со счета Организатора торгов. Исполнение обязанности по внесению суммы задатка третьими лицами не допускается.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К участию в Торгах 1, Торгах 2,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иностр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Конкурсному управляющего, СРО арбитражных управляющих, членом или руководителем которой является Конкурсный управляющий. 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Для Торгов 1 и Торгов 2: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007715" w:rsidRDefault="00007715" w:rsidP="000077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Для Торгов ППП: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DB361C" w:rsidRDefault="00007715" w:rsidP="00007715">
      <w:r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Конкурсного управляющего. Оплата - в течение 30 дней со дня подписания договора купли-продажи на счет Должника: р/с: 40702810100000001227 в Коммерческий Банк «Новый Московский Банк».</w:t>
      </w:r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20"/>
    <w:rsid w:val="00007715"/>
    <w:rsid w:val="001776ED"/>
    <w:rsid w:val="008A4220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8642-6892-47CD-A0EF-4C8444B5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2020-11-26T10:52:00Z</dcterms:created>
  <dcterms:modified xsi:type="dcterms:W3CDTF">2020-11-26T10:53:00Z</dcterms:modified>
</cp:coreProperties>
</file>