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484B6955" w:rsidR="00171986" w:rsidRPr="00236491" w:rsidRDefault="00BD7FC5" w:rsidP="00236491">
      <w:pPr>
        <w:pStyle w:val="ConsNormal"/>
        <w:widowControl/>
        <w:numPr>
          <w:ilvl w:val="1"/>
          <w:numId w:val="2"/>
        </w:numPr>
        <w:tabs>
          <w:tab w:val="left" w:pos="710"/>
          <w:tab w:val="left" w:pos="851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36491">
        <w:rPr>
          <w:rFonts w:ascii="Verdana" w:hAnsi="Verdana" w:cs="Times New Roman"/>
        </w:rPr>
        <w:t xml:space="preserve">обязуется принять и оплатить </w:t>
      </w:r>
      <w:r w:rsidR="00FA5486" w:rsidRPr="00236491">
        <w:rPr>
          <w:rFonts w:ascii="Verdana" w:hAnsi="Verdana" w:cs="Times New Roman"/>
        </w:rPr>
        <w:t>помещение, назначение</w:t>
      </w:r>
      <w:r w:rsidR="00FB339B" w:rsidRPr="00236491">
        <w:rPr>
          <w:rFonts w:ascii="Verdana" w:hAnsi="Verdana" w:cs="Times New Roman"/>
        </w:rPr>
        <w:t>: нежилое помещение</w:t>
      </w:r>
      <w:r w:rsidR="00FA5486" w:rsidRPr="00236491">
        <w:rPr>
          <w:rFonts w:ascii="Verdana" w:hAnsi="Verdana" w:cs="Times New Roman"/>
        </w:rPr>
        <w:t>, кадастровый номер</w:t>
      </w:r>
      <w:r w:rsidR="00236491" w:rsidRPr="00236491">
        <w:rPr>
          <w:rFonts w:ascii="Verdana" w:hAnsi="Verdana" w:cs="Times New Roman"/>
        </w:rPr>
        <w:t>:</w:t>
      </w:r>
      <w:r w:rsidR="00FA5486" w:rsidRPr="00236491">
        <w:rPr>
          <w:rFonts w:ascii="Verdana" w:hAnsi="Verdana" w:cs="Times New Roman"/>
        </w:rPr>
        <w:t xml:space="preserve"> </w:t>
      </w:r>
      <w:r w:rsidR="00236491" w:rsidRPr="00236491">
        <w:rPr>
          <w:rFonts w:ascii="Verdana" w:hAnsi="Verdana" w:cs="Times New Roman"/>
        </w:rPr>
        <w:t>77:04:0001019:12987</w:t>
      </w:r>
      <w:r w:rsidR="00FA5486" w:rsidRPr="00236491">
        <w:rPr>
          <w:rFonts w:ascii="Verdana" w:hAnsi="Verdana" w:cs="Times New Roman"/>
        </w:rPr>
        <w:t xml:space="preserve">, </w:t>
      </w:r>
      <w:r w:rsidR="00FB339B" w:rsidRPr="00236491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236491" w:rsidRPr="00236491">
        <w:rPr>
          <w:rFonts w:ascii="Verdana" w:hAnsi="Verdana" w:cs="Times New Roman"/>
        </w:rPr>
        <w:t xml:space="preserve"> этаж №-1</w:t>
      </w:r>
      <w:r w:rsidR="00FA5486" w:rsidRPr="00236491">
        <w:rPr>
          <w:rFonts w:ascii="Verdana" w:hAnsi="Verdana" w:cs="Times New Roman"/>
        </w:rPr>
        <w:t>, общей площадью</w:t>
      </w:r>
      <w:r w:rsidR="00236491" w:rsidRPr="00236491">
        <w:rPr>
          <w:rFonts w:ascii="Verdana" w:hAnsi="Verdana" w:cs="Times New Roman"/>
        </w:rPr>
        <w:t xml:space="preserve">: 15,6 </w:t>
      </w:r>
      <w:r w:rsidR="00FA5486" w:rsidRPr="00236491">
        <w:rPr>
          <w:rFonts w:ascii="Verdana" w:hAnsi="Verdana" w:cs="Times New Roman"/>
        </w:rPr>
        <w:t xml:space="preserve">кв.м., адрес (местонахождение): </w:t>
      </w:r>
      <w:r w:rsidR="00FB339B" w:rsidRPr="00236491">
        <w:rPr>
          <w:rFonts w:ascii="Verdana" w:hAnsi="Verdana" w:cs="Times New Roman"/>
        </w:rPr>
        <w:t>г. Москва, ул.</w:t>
      </w:r>
      <w:r w:rsidR="007D2AAA" w:rsidRPr="00236491">
        <w:rPr>
          <w:rFonts w:ascii="Verdana" w:hAnsi="Verdana" w:cs="Times New Roman"/>
        </w:rPr>
        <w:t xml:space="preserve"> </w:t>
      </w:r>
      <w:r w:rsidR="00FB339B" w:rsidRPr="00236491">
        <w:rPr>
          <w:rFonts w:ascii="Verdana" w:hAnsi="Verdana" w:cs="Times New Roman"/>
        </w:rPr>
        <w:t>Мельникова, д.3, корп.1</w:t>
      </w:r>
      <w:r w:rsidR="00B5433E" w:rsidRPr="00236491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236491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5A92B6CE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 xml:space="preserve">о чем в </w:t>
      </w:r>
      <w:r w:rsidRPr="00236491">
        <w:rPr>
          <w:rFonts w:ascii="Verdana" w:hAnsi="Verdana"/>
          <w:color w:val="000000" w:themeColor="text1"/>
        </w:rPr>
        <w:t>Едином государственном реестре недвижимости сделана запись о регистрации</w:t>
      </w:r>
      <w:r w:rsidR="00191D9C">
        <w:rPr>
          <w:rFonts w:ascii="Verdana" w:hAnsi="Verdana"/>
          <w:color w:val="000000" w:themeColor="text1"/>
        </w:rPr>
        <w:t xml:space="preserve"> №</w:t>
      </w:r>
      <w:r w:rsidR="00191D9C" w:rsidRPr="00236491">
        <w:rPr>
          <w:rFonts w:ascii="Verdana" w:hAnsi="Verdana" w:cs="Times New Roman"/>
        </w:rPr>
        <w:t>77:04:0001019:12987</w:t>
      </w:r>
      <w:r w:rsidR="00191D9C">
        <w:rPr>
          <w:rFonts w:ascii="Verdana" w:hAnsi="Verdana" w:cs="Times New Roman"/>
        </w:rPr>
        <w:t>-77/072/2020-20 от 06.11.2020</w:t>
      </w:r>
      <w:r w:rsidRPr="00236491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236491">
        <w:rPr>
          <w:rFonts w:ascii="Verdana" w:hAnsi="Verdana"/>
        </w:rPr>
        <w:t xml:space="preserve">от </w:t>
      </w:r>
      <w:r w:rsidR="00236491" w:rsidRPr="00236491">
        <w:rPr>
          <w:rFonts w:ascii="Verdana" w:hAnsi="Verdana"/>
        </w:rPr>
        <w:t xml:space="preserve">06.11.2020 </w:t>
      </w:r>
      <w:r w:rsidRPr="00236491">
        <w:rPr>
          <w:rFonts w:ascii="Verdana" w:hAnsi="Verdana"/>
        </w:rPr>
        <w:t>№</w:t>
      </w:r>
      <w:r w:rsidR="00236491" w:rsidRPr="00236491">
        <w:rPr>
          <w:rFonts w:ascii="Verdana" w:hAnsi="Verdana"/>
        </w:rPr>
        <w:t>б/н</w:t>
      </w:r>
      <w:r w:rsidR="00A518CB" w:rsidRPr="00236491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3674F13A" w:rsidR="00CF1A05" w:rsidRPr="00191D9C" w:rsidRDefault="00CF1A05" w:rsidP="00191D9C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191D9C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339DBABB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2364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236491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236491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05AE8904" w:rsidR="001E5436" w:rsidRPr="008076AD" w:rsidRDefault="00B71921" w:rsidP="0023649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2364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236491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236491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490DC06A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236491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236491" w:rsidRPr="00236491">
        <w:rPr>
          <w:rFonts w:ascii="Verdana" w:hAnsi="Verdana"/>
          <w:color w:val="000000" w:themeColor="text1"/>
          <w:sz w:val="20"/>
          <w:szCs w:val="20"/>
        </w:rPr>
        <w:t>114 600</w:t>
      </w:r>
      <w:r w:rsidRPr="00236491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236491" w:rsidRPr="00236491">
        <w:rPr>
          <w:rFonts w:ascii="Verdana" w:hAnsi="Verdana"/>
          <w:color w:val="000000" w:themeColor="text1"/>
          <w:sz w:val="20"/>
          <w:szCs w:val="20"/>
        </w:rPr>
        <w:t>Сто четырнадцать тысяч шестьсот</w:t>
      </w:r>
      <w:r w:rsidRPr="00236491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236491" w:rsidRPr="00236491">
        <w:rPr>
          <w:rFonts w:ascii="Verdana" w:hAnsi="Verdana"/>
          <w:color w:val="000000" w:themeColor="text1"/>
          <w:sz w:val="20"/>
          <w:szCs w:val="20"/>
        </w:rPr>
        <w:t>00</w:t>
      </w:r>
      <w:r w:rsidRPr="00236491">
        <w:rPr>
          <w:rFonts w:ascii="Verdana" w:hAnsi="Verdana"/>
          <w:color w:val="000000" w:themeColor="text1"/>
          <w:sz w:val="20"/>
          <w:szCs w:val="20"/>
        </w:rPr>
        <w:t xml:space="preserve"> копеек (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в том числе НДС, исчисленный в соответствии </w:t>
      </w:r>
      <w:r w:rsidR="009E46C2" w:rsidRPr="009E46C2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217842F8" w:rsidR="00A24C91" w:rsidRPr="008509DF" w:rsidRDefault="00A24C91" w:rsidP="00191D9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bookmarkStart w:id="0" w:name="_GoBack"/>
      <w:bookmarkEnd w:id="0"/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34A2B7A9" w:rsidR="007D2ACC" w:rsidRPr="00236491" w:rsidRDefault="00DD5861" w:rsidP="005C5308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6491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23649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23649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236491" w:rsidRPr="00236491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77:04:0001019:12987, номер, тип этажа, на котором расположено помещение, машиноместо: этаж №-1, общей площадью: 15,6 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6491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недвижимого имущества опломбированы. Показания приборов учета на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2364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2364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39EF4294" w:rsidR="00686D08" w:rsidRPr="002364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2364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236491" w:rsidRPr="00236491">
        <w:rPr>
          <w:rFonts w:ascii="Verdana" w:hAnsi="Verdana"/>
        </w:rPr>
        <w:t>(</w:t>
      </w:r>
      <w:r w:rsidR="00236491" w:rsidRPr="00236491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236491" w:rsidRPr="00236491">
        <w:rPr>
          <w:rFonts w:ascii="Verdana" w:hAnsi="Verdana"/>
          <w:i/>
        </w:rPr>
        <w:t>)</w:t>
      </w:r>
      <w:r w:rsidRPr="00236491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2364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2364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236491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236491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236491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36491">
        <w:rPr>
          <w:rFonts w:ascii="Verdana" w:hAnsi="Verdana"/>
          <w:i/>
          <w:color w:val="0070C0"/>
        </w:rPr>
        <w:t>_____________________________ (ОГРН _________________, ИНН _____________ , КПП ____________, к/с № ___________________</w:t>
      </w:r>
      <w:r w:rsidRPr="000C2791">
        <w:rPr>
          <w:rFonts w:ascii="Verdana" w:hAnsi="Verdana"/>
          <w:i/>
          <w:color w:val="0070C0"/>
        </w:rPr>
        <w:t xml:space="preserve">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13D45680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 xml:space="preserve">; в графе «кадастровый номер объекта» указано – </w:t>
      </w:r>
      <w:r w:rsidR="00236491" w:rsidRPr="00236491">
        <w:rPr>
          <w:rFonts w:ascii="Verdana" w:hAnsi="Verdana"/>
        </w:rPr>
        <w:t>77:04:0001019:12987</w:t>
      </w:r>
      <w:r w:rsidRPr="00E63D94">
        <w:rPr>
          <w:rFonts w:ascii="Verdana" w:hAnsi="Verdana"/>
        </w:rPr>
        <w:t>; в графе «</w:t>
      </w:r>
      <w:r w:rsidRPr="00236491">
        <w:rPr>
          <w:rFonts w:ascii="Verdana" w:hAnsi="Verdana"/>
        </w:rPr>
        <w:t xml:space="preserve">наименование объекта» указано – </w:t>
      </w:r>
      <w:r w:rsidR="00236491" w:rsidRPr="00236491">
        <w:rPr>
          <w:rFonts w:ascii="Verdana" w:hAnsi="Verdana"/>
        </w:rPr>
        <w:t>помещение</w:t>
      </w:r>
      <w:r w:rsidRPr="00236491">
        <w:rPr>
          <w:rFonts w:ascii="Verdana" w:hAnsi="Verdana"/>
        </w:rPr>
        <w:t xml:space="preserve">; в графе «площадь объекта» указано – </w:t>
      </w:r>
      <w:r w:rsidR="00236491" w:rsidRPr="00236491">
        <w:rPr>
          <w:rFonts w:ascii="Verdana" w:hAnsi="Verdana"/>
        </w:rPr>
        <w:t>15,6</w:t>
      </w:r>
      <w:r w:rsidRPr="00236491">
        <w:rPr>
          <w:rFonts w:ascii="Verdana" w:hAnsi="Verdana"/>
        </w:rPr>
        <w:t xml:space="preserve"> кв.м.; в графе «адрес (местоположение) объекта» указано – </w:t>
      </w:r>
      <w:r w:rsidR="00236491" w:rsidRPr="00236491">
        <w:rPr>
          <w:rFonts w:ascii="Verdana" w:hAnsi="Verdana"/>
        </w:rPr>
        <w:t>г. Москва, ул. Мельникова, д.3, корп.1</w:t>
      </w:r>
      <w:r w:rsidRPr="00236491">
        <w:rPr>
          <w:rFonts w:ascii="Verdana" w:hAnsi="Verdana"/>
        </w:rPr>
        <w:t xml:space="preserve">, в графе </w:t>
      </w:r>
      <w:r w:rsidRPr="00E63D94">
        <w:rPr>
          <w:rFonts w:ascii="Verdana" w:hAnsi="Verdana"/>
        </w:rPr>
        <w:t>«ограничение (обременение) права» указано – не зарегистрировано</w:t>
      </w:r>
      <w:r w:rsidR="00236491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D57E6" w14:textId="77777777" w:rsidR="00C33573" w:rsidRDefault="00C33573" w:rsidP="00E33D4F">
      <w:pPr>
        <w:spacing w:after="0" w:line="240" w:lineRule="auto"/>
      </w:pPr>
      <w:r>
        <w:separator/>
      </w:r>
    </w:p>
  </w:endnote>
  <w:endnote w:type="continuationSeparator" w:id="0">
    <w:p w14:paraId="29F383E0" w14:textId="77777777" w:rsidR="00C33573" w:rsidRDefault="00C3357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4445491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9C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D326" w14:textId="77777777" w:rsidR="00C33573" w:rsidRDefault="00C33573" w:rsidP="00E33D4F">
      <w:pPr>
        <w:spacing w:after="0" w:line="240" w:lineRule="auto"/>
      </w:pPr>
      <w:r>
        <w:separator/>
      </w:r>
    </w:p>
  </w:footnote>
  <w:footnote w:type="continuationSeparator" w:id="0">
    <w:p w14:paraId="0DBA3B4F" w14:textId="77777777" w:rsidR="00C33573" w:rsidRDefault="00C33573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357F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86467"/>
    <w:rsid w:val="00091B5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86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D9C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36491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EA8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3A29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81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A3F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045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4E4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195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57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A80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2D0C"/>
    <w:rsid w:val="00D24468"/>
    <w:rsid w:val="00D246FA"/>
    <w:rsid w:val="00D30721"/>
    <w:rsid w:val="00D31076"/>
    <w:rsid w:val="00D35749"/>
    <w:rsid w:val="00D36533"/>
    <w:rsid w:val="00D37231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B488A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4DDE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5A6A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CDBA-2B59-4E57-9102-3C7B1330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2020-12-20T17:29:00Z</dcterms:created>
  <dcterms:modified xsi:type="dcterms:W3CDTF">2020-12-20T17:29:00Z</dcterms:modified>
</cp:coreProperties>
</file>