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</w:t>
      </w:r>
      <w:proofErr w:type="gramStart"/>
      <w:r>
        <w:rPr>
          <w:color w:val="auto"/>
          <w:sz w:val="18"/>
        </w:rPr>
        <w:t xml:space="preserve">   «</w:t>
      </w:r>
      <w:proofErr w:type="gramEnd"/>
      <w:r>
        <w:rPr>
          <w:color w:val="auto"/>
          <w:sz w:val="18"/>
        </w:rPr>
        <w:t>__» ________ 202</w:t>
      </w:r>
      <w:r w:rsidR="00D34B49">
        <w:rPr>
          <w:color w:val="auto"/>
          <w:sz w:val="18"/>
        </w:rPr>
        <w:t>1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D34B49">
        <w:rPr>
          <w:bCs/>
          <w:color w:val="auto"/>
          <w:sz w:val="18"/>
        </w:rPr>
        <w:t>СНАБСТРОЙ</w:t>
      </w:r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F173AA">
        <w:rPr>
          <w:color w:val="auto"/>
          <w:sz w:val="18"/>
        </w:rPr>
        <w:t>Лепихина</w:t>
      </w:r>
      <w:proofErr w:type="spellEnd"/>
      <w:r w:rsidRPr="00F173AA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D34B49">
        <w:rPr>
          <w:color w:val="auto"/>
          <w:sz w:val="18"/>
        </w:rPr>
        <w:t>04.03</w:t>
      </w:r>
      <w:r>
        <w:rPr>
          <w:color w:val="auto"/>
          <w:sz w:val="18"/>
        </w:rPr>
        <w:t>.</w:t>
      </w:r>
      <w:r w:rsidR="00D34B49">
        <w:rPr>
          <w:color w:val="auto"/>
          <w:sz w:val="18"/>
        </w:rPr>
        <w:t>2021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</w:t>
      </w:r>
      <w:proofErr w:type="gramStart"/>
      <w:r w:rsidRPr="00F173AA">
        <w:rPr>
          <w:color w:val="auto"/>
          <w:sz w:val="18"/>
        </w:rPr>
        <w:t>так же</w:t>
      </w:r>
      <w:proofErr w:type="gramEnd"/>
      <w:r w:rsidRPr="00F173AA">
        <w:rPr>
          <w:color w:val="auto"/>
          <w:sz w:val="18"/>
        </w:rPr>
        <w:t xml:space="preserve">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к/с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в полной сумме, указанной в п.1.1 настоящего договора в срок до </w:t>
      </w:r>
      <w:r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D34B49">
        <w:rPr>
          <w:color w:val="auto"/>
          <w:sz w:val="18"/>
        </w:rPr>
        <w:t>02.03.2021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854066">
        <w:rPr>
          <w:bCs/>
          <w:color w:val="auto"/>
          <w:sz w:val="18"/>
        </w:rPr>
        <w:t>СНАБСТРОЙ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</w:t>
      </w:r>
      <w:proofErr w:type="gramStart"/>
      <w:r w:rsidRPr="009D2819">
        <w:rPr>
          <w:color w:val="auto"/>
          <w:sz w:val="18"/>
        </w:rPr>
        <w:t>Заявителю</w:t>
      </w:r>
      <w:proofErr w:type="gramEnd"/>
      <w:r w:rsidRPr="009D2819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bookmarkStart w:id="0" w:name="_GoBack"/>
      <w:bookmarkEnd w:id="0"/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</w:t>
      </w:r>
      <w:proofErr w:type="gramStart"/>
      <w:r w:rsidRPr="009D2819">
        <w:rPr>
          <w:color w:val="auto"/>
          <w:sz w:val="18"/>
        </w:rPr>
        <w:t>реквизитам:_</w:t>
      </w:r>
      <w:proofErr w:type="gramEnd"/>
      <w:r w:rsidRPr="009D2819">
        <w:rPr>
          <w:color w:val="auto"/>
          <w:sz w:val="18"/>
        </w:rPr>
        <w:t>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9D2819">
        <w:rPr>
          <w:color w:val="auto"/>
          <w:sz w:val="18"/>
        </w:rPr>
        <w:t>так же</w:t>
      </w:r>
      <w:proofErr w:type="gramEnd"/>
      <w:r w:rsidRPr="009D2819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9D2819">
              <w:rPr>
                <w:color w:val="auto"/>
                <w:sz w:val="18"/>
              </w:rPr>
              <w:t>Директор  _</w:t>
            </w:r>
            <w:proofErr w:type="gramEnd"/>
            <w:r w:rsidRPr="009D2819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9D2819">
              <w:rPr>
                <w:color w:val="auto"/>
                <w:sz w:val="18"/>
              </w:rPr>
              <w:t>Лепихин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B"/>
    <w:rsid w:val="0038360E"/>
    <w:rsid w:val="006D2CFB"/>
    <w:rsid w:val="00770309"/>
    <w:rsid w:val="00854066"/>
    <w:rsid w:val="00AC01CB"/>
    <w:rsid w:val="00B944B1"/>
    <w:rsid w:val="00D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25F8"/>
  <w15:chartTrackingRefBased/>
  <w15:docId w15:val="{DAB3456C-75C3-4ECE-89B8-0416888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2020-02-26T04:36:00Z</dcterms:created>
  <dcterms:modified xsi:type="dcterms:W3CDTF">2021-01-19T03:12:00Z</dcterms:modified>
</cp:coreProperties>
</file>