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100C9F">
            <w:pPr>
              <w:snapToGrid w:val="0"/>
              <w:jc w:val="right"/>
              <w:rPr>
                <w:rFonts w:ascii="Cambria" w:hAnsi="Cambria"/>
                <w:sz w:val="20"/>
                <w:szCs w:val="20"/>
              </w:rPr>
            </w:pPr>
            <w:r>
              <w:rPr>
                <w:rFonts w:ascii="Cambria" w:hAnsi="Cambria"/>
                <w:sz w:val="20"/>
                <w:szCs w:val="20"/>
              </w:rPr>
              <w:t>«   » _____________ 202</w:t>
            </w:r>
            <w:r w:rsidR="00100C9F">
              <w:rPr>
                <w:rFonts w:ascii="Cambria" w:hAnsi="Cambria"/>
                <w:sz w:val="20"/>
                <w:szCs w:val="20"/>
              </w:rPr>
              <w:t>1</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 xml:space="preserve">«КоммерсантЪ»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 xml:space="preserve">«КоммерсантЪ»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100C9F">
        <w:rPr>
          <w:rFonts w:ascii="Cambria" w:hAnsi="Cambria"/>
          <w:sz w:val="20"/>
          <w:szCs w:val="20"/>
        </w:rPr>
        <w:t xml:space="preserve"> на периоде</w:t>
      </w:r>
      <w:r w:rsidR="00CB2AA4" w:rsidRPr="00462099">
        <w:rPr>
          <w:rFonts w:ascii="Cambria" w:hAnsi="Cambria"/>
          <w:sz w:val="20"/>
          <w:szCs w:val="20"/>
        </w:rPr>
        <w:t>:</w:t>
      </w:r>
    </w:p>
    <w:p w:rsidR="00E215E3" w:rsidRPr="0077138A" w:rsidRDefault="004C6095" w:rsidP="008E0C00">
      <w:pPr>
        <w:pStyle w:val="a9"/>
        <w:ind w:firstLine="567"/>
        <w:jc w:val="both"/>
        <w:rPr>
          <w:rFonts w:ascii="Cambria" w:hAnsi="Cambria"/>
          <w:sz w:val="24"/>
        </w:rPr>
      </w:pPr>
      <w:r w:rsidRPr="00576AC3">
        <w:rPr>
          <w:rFonts w:ascii="Cambria" w:hAnsi="Cambria"/>
          <w:b/>
        </w:rPr>
        <w:t>лот №1</w:t>
      </w:r>
      <w:r w:rsidRPr="00576AC3">
        <w:rPr>
          <w:rFonts w:ascii="Cambria" w:hAnsi="Cambria"/>
        </w:rPr>
        <w:t xml:space="preserve"> – </w:t>
      </w:r>
      <w:r w:rsidRPr="00576AC3">
        <w:rPr>
          <w:rFonts w:ascii="Cambria" w:hAnsi="Cambria"/>
          <w:bCs/>
        </w:rPr>
        <w:t xml:space="preserve">залог ПАО «Сбербанк России»: </w:t>
      </w:r>
      <w:r w:rsidRPr="00916F83">
        <w:rPr>
          <w:rFonts w:ascii="Cambria" w:hAnsi="Cambria"/>
          <w:bCs/>
          <w:sz w:val="24"/>
        </w:rPr>
        <w:t xml:space="preserve">здание центрального теплового пункта, пл. 173,5кв.м., к.н. 01:08:0504002:149, Респ Адыгея, Майкоп, Промышленная, 8/8, земельный участок на праве аренды, земли населенных пунктов для размещения производственных зданий и сооружений, пл. 8936кв.м., к.н. 01:08:0504002:84, срок аренды с 10.10.2016г. по 10.10.2026г., Респ Адыгея, Майкоп, Промышленная, 8/8; котельная, пл. 690,1кв.м., к.н. 01:08:0504002:151, Респ Адыгея, Майкоп, Промышленная, 8/4, земельный участок на праве аренды, земли населенных пунктов для размещения производственных зданий и сооружений, пл. 3062кв.м., к.н. 01:08:0504002:80, срок аренды с 18.09.2009г. по 18.09.2034г., Респ Адыгея, Майкоп, Промышленная, 8/4; материальный склад, пл. 2567кв.м., к.н. 01:08:0504002:156, Респ Адыгея, Майкоп, Промышленная, 8/3, земельный участок на праве аренды, земли населенных пунктов для размещения склада, пл. 7250кв.м., к.н. 01:08:0504002:79, срок аренды с 18.09.2009г. по 18.09.2034г., Респ Адыгея, Майкоп, Промышленная, 8/3; здание склада химикатов, пл. 741,3кв.м., к.н. 01:08:0504002:133, Респ Адыгея, Майкоп, Промышленная, 8/10, земельный участок на праве аренды, земли населенных пунктов для размещения производственных зданий и сооружений, пл. 2652кв.м., к.н. 01:08:0504002:86, срок аренды с 10.10.2016г. по 18.10.2026г., Респ Адыгея, Майкоп, Промышленная, 8/10; нежилое помещение, пл. 729,3кв.м., к.н. 01:08:0504002:355, Респ Адыгея, Майкоп, Промышленная, 8/6, нежилое помещение, пл. 800кв.м., к.н. 01:08:0504002:357, часть помещений на первом этаже, Респ Адыгея, Майкоп, Промышленная, 8, нежилое помещение, пл. 1495,3кв.м., к.н. 01:08:0504002:368, часть помещения цеха канатной фабрики лит. Б1, Респ Адыгея, Майкоп, Промышленная, 8, земельный участок на праве аренды, земли населенных пунктов для размещения производственных зданий и сооружений, пл. 23332кв.м., к.н. 01:08:0504002:82, срок аренды с 18.09.2009г. по 18.09.2034г., Респ Адыгея, Майкоп, Промышленная, 8/6 </w:t>
      </w:r>
      <w:r w:rsidRPr="00916F83">
        <w:rPr>
          <w:rFonts w:ascii="Cambria" w:hAnsi="Cambria"/>
          <w:sz w:val="24"/>
        </w:rPr>
        <w:t xml:space="preserve">– начальная цена лота – </w:t>
      </w:r>
      <w:r w:rsidR="00321A95">
        <w:rPr>
          <w:rFonts w:ascii="Cambria" w:hAnsi="Cambria"/>
          <w:sz w:val="24"/>
        </w:rPr>
        <w:t>54 408 960,00</w:t>
      </w:r>
      <w:bookmarkStart w:id="0" w:name="_GoBack"/>
      <w:bookmarkEnd w:id="0"/>
      <w:r w:rsidRPr="00916F83">
        <w:rPr>
          <w:rFonts w:ascii="Cambria" w:hAnsi="Cambria"/>
          <w:sz w:val="24"/>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р/сч 40702810930000042976, кор/сч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100C9F">
        <w:rPr>
          <w:rStyle w:val="paragraph"/>
          <w:rFonts w:ascii="Cambria" w:hAnsi="Cambria"/>
          <w:sz w:val="20"/>
          <w:szCs w:val="20"/>
        </w:rPr>
        <w:t>окончания периода, в котором подается заявка</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Pr="00462099">
        <w:rPr>
          <w:rFonts w:ascii="Cambria" w:hAnsi="Cambria"/>
          <w:sz w:val="20"/>
          <w:szCs w:val="20"/>
        </w:rPr>
        <w:lastRenderedPageBreak/>
        <w:t>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сч.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сч.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lastRenderedPageBreak/>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_________________  </w:t>
      </w:r>
      <w:r w:rsidRPr="00462099">
        <w:rPr>
          <w:rFonts w:ascii="Cambria" w:hAnsi="Cambria" w:cs="Times New Roman"/>
          <w:b/>
          <w:sz w:val="20"/>
          <w:szCs w:val="20"/>
        </w:rPr>
        <w:t>Д.И.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00C9F"/>
    <w:rsid w:val="00112365"/>
    <w:rsid w:val="001272A7"/>
    <w:rsid w:val="001A7AA7"/>
    <w:rsid w:val="001B4E09"/>
    <w:rsid w:val="001E34D4"/>
    <w:rsid w:val="001E503A"/>
    <w:rsid w:val="00291119"/>
    <w:rsid w:val="002C2560"/>
    <w:rsid w:val="002D17BE"/>
    <w:rsid w:val="002F49C4"/>
    <w:rsid w:val="00302663"/>
    <w:rsid w:val="00321A95"/>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138A"/>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D3D453"/>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A698-F9E2-48D1-B045-7D4DBCB8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3</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26</cp:revision>
  <cp:lastPrinted>2010-09-29T15:55:00Z</cp:lastPrinted>
  <dcterms:created xsi:type="dcterms:W3CDTF">2015-07-14T07:06:00Z</dcterms:created>
  <dcterms:modified xsi:type="dcterms:W3CDTF">2021-06-03T12:02:00Z</dcterms:modified>
</cp:coreProperties>
</file>