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2E" w:rsidRPr="00E63BFF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proofErr w:type="gramStart"/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proofErr w:type="gramEnd"/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111B29">
        <w:rPr>
          <w:rFonts w:ascii="Times New Roman" w:eastAsia="Times New Roman" w:hAnsi="Times New Roman" w:cs="Times New Roman"/>
          <w:lang w:eastAsia="ru-RU"/>
        </w:rPr>
        <w:t xml:space="preserve"> 2021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111B2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523A">
        <w:rPr>
          <w:rFonts w:ascii="Times New Roman" w:hAnsi="Times New Roman" w:cs="Times New Roman"/>
          <w:b/>
        </w:rPr>
        <w:t xml:space="preserve">Гражданин Российской Федерации </w:t>
      </w:r>
      <w:r w:rsidRPr="00A912C6">
        <w:rPr>
          <w:rFonts w:ascii="Times New Roman" w:hAnsi="Times New Roman" w:cs="Times New Roman"/>
          <w:bCs/>
        </w:rPr>
        <w:t>Абрамов Владимир Юрьевич</w:t>
      </w:r>
      <w:r w:rsidRPr="000C6445">
        <w:rPr>
          <w:rFonts w:ascii="Times New Roman" w:hAnsi="Times New Roman" w:cs="Times New Roman"/>
          <w:bCs/>
        </w:rPr>
        <w:t xml:space="preserve"> (</w:t>
      </w:r>
      <w:r w:rsidRPr="00A912C6">
        <w:rPr>
          <w:rFonts w:ascii="Times New Roman" w:hAnsi="Times New Roman" w:cs="Times New Roman"/>
          <w:bCs/>
        </w:rPr>
        <w:t>01.03.1973</w:t>
      </w:r>
      <w:r>
        <w:rPr>
          <w:rFonts w:ascii="Times New Roman" w:hAnsi="Times New Roman" w:cs="Times New Roman"/>
          <w:bCs/>
        </w:rPr>
        <w:t xml:space="preserve"> г.р.</w:t>
      </w:r>
      <w:r w:rsidRPr="000C6445">
        <w:rPr>
          <w:rFonts w:ascii="Times New Roman" w:hAnsi="Times New Roman" w:cs="Times New Roman"/>
          <w:bCs/>
        </w:rPr>
        <w:t xml:space="preserve">, место рождения: </w:t>
      </w:r>
      <w:r w:rsidRPr="00A912C6">
        <w:rPr>
          <w:rFonts w:ascii="Times New Roman" w:hAnsi="Times New Roman" w:cs="Times New Roman"/>
          <w:bCs/>
        </w:rPr>
        <w:t>г. Владивосток</w:t>
      </w:r>
      <w:r w:rsidRPr="000C6445">
        <w:rPr>
          <w:rFonts w:ascii="Times New Roman" w:hAnsi="Times New Roman" w:cs="Times New Roman"/>
          <w:bCs/>
        </w:rPr>
        <w:t xml:space="preserve">, СНИЛС </w:t>
      </w:r>
      <w:r w:rsidRPr="00A912C6">
        <w:rPr>
          <w:rFonts w:ascii="Times New Roman" w:hAnsi="Times New Roman" w:cs="Times New Roman"/>
          <w:bCs/>
        </w:rPr>
        <w:t>031-688-480 66</w:t>
      </w:r>
      <w:r w:rsidRPr="000C6445">
        <w:rPr>
          <w:rFonts w:ascii="Times New Roman" w:hAnsi="Times New Roman" w:cs="Times New Roman"/>
          <w:bCs/>
        </w:rPr>
        <w:t xml:space="preserve">, ИНН </w:t>
      </w:r>
      <w:r w:rsidRPr="00A912C6">
        <w:rPr>
          <w:rFonts w:ascii="Times New Roman" w:hAnsi="Times New Roman" w:cs="Times New Roman"/>
          <w:bCs/>
        </w:rPr>
        <w:t>772637221164</w:t>
      </w:r>
      <w:r w:rsidRPr="000C6445">
        <w:rPr>
          <w:rFonts w:ascii="Times New Roman" w:hAnsi="Times New Roman" w:cs="Times New Roman"/>
          <w:bCs/>
        </w:rPr>
        <w:t xml:space="preserve">, регистрация по месту жительства: </w:t>
      </w:r>
      <w:r w:rsidRPr="00A912C6">
        <w:rPr>
          <w:rFonts w:ascii="Times New Roman" w:hAnsi="Times New Roman" w:cs="Times New Roman"/>
          <w:bCs/>
        </w:rPr>
        <w:t xml:space="preserve">117570, г. Москва, ул. Днепропетровская, д. 16, </w:t>
      </w:r>
      <w:r>
        <w:rPr>
          <w:rFonts w:ascii="Times New Roman" w:hAnsi="Times New Roman" w:cs="Times New Roman"/>
          <w:bCs/>
        </w:rPr>
        <w:t xml:space="preserve">корп. 8, </w:t>
      </w:r>
      <w:r w:rsidRPr="00A912C6">
        <w:rPr>
          <w:rFonts w:ascii="Times New Roman" w:hAnsi="Times New Roman" w:cs="Times New Roman"/>
          <w:bCs/>
        </w:rPr>
        <w:t>кв. 14</w:t>
      </w:r>
      <w:r w:rsidRPr="000C6445">
        <w:rPr>
          <w:rFonts w:ascii="Times New Roman" w:hAnsi="Times New Roman" w:cs="Times New Roman"/>
          <w:bCs/>
        </w:rPr>
        <w:t>)</w:t>
      </w:r>
      <w:r w:rsidRPr="006E523A">
        <w:rPr>
          <w:rFonts w:ascii="Times New Roman" w:hAnsi="Times New Roman" w:cs="Times New Roman"/>
        </w:rPr>
        <w:t xml:space="preserve">, </w:t>
      </w:r>
      <w:r w:rsidRPr="006E523A">
        <w:rPr>
          <w:rFonts w:ascii="Times New Roman" w:hAnsi="Times New Roman" w:cs="Times New Roman"/>
          <w:b/>
        </w:rPr>
        <w:t xml:space="preserve">в лице финансового управляющего </w:t>
      </w:r>
      <w:r w:rsidRPr="00FA49FE">
        <w:rPr>
          <w:rFonts w:ascii="Times New Roman" w:hAnsi="Times New Roman" w:cs="Times New Roman"/>
          <w:b/>
        </w:rPr>
        <w:t>Воронин</w:t>
      </w:r>
      <w:r>
        <w:rPr>
          <w:rFonts w:ascii="Times New Roman" w:hAnsi="Times New Roman" w:cs="Times New Roman"/>
          <w:b/>
        </w:rPr>
        <w:t>а Дмитрия</w:t>
      </w:r>
      <w:r w:rsidRPr="00FA49FE">
        <w:rPr>
          <w:rFonts w:ascii="Times New Roman" w:hAnsi="Times New Roman" w:cs="Times New Roman"/>
          <w:b/>
        </w:rPr>
        <w:t xml:space="preserve"> Вадимович</w:t>
      </w:r>
      <w:r>
        <w:rPr>
          <w:rFonts w:ascii="Times New Roman" w:hAnsi="Times New Roman" w:cs="Times New Roman"/>
          <w:b/>
        </w:rPr>
        <w:t>а</w:t>
      </w:r>
      <w:r w:rsidRPr="00FA49FE">
        <w:rPr>
          <w:rFonts w:ascii="Times New Roman" w:hAnsi="Times New Roman" w:cs="Times New Roman"/>
          <w:b/>
        </w:rPr>
        <w:t xml:space="preserve"> </w:t>
      </w:r>
      <w:r w:rsidRPr="00FA49FE">
        <w:rPr>
          <w:rFonts w:ascii="Times New Roman" w:hAnsi="Times New Roman" w:cs="Times New Roman"/>
        </w:rPr>
        <w:t>(ИНН 420545661764, С</w:t>
      </w:r>
      <w:r>
        <w:rPr>
          <w:rFonts w:ascii="Times New Roman" w:hAnsi="Times New Roman" w:cs="Times New Roman"/>
        </w:rPr>
        <w:t xml:space="preserve">НИЛС 156-171-385 65, рег. номер: </w:t>
      </w:r>
      <w:r w:rsidRPr="00FA49FE">
        <w:rPr>
          <w:rFonts w:ascii="Times New Roman" w:hAnsi="Times New Roman" w:cs="Times New Roman"/>
        </w:rPr>
        <w:t>13149), член</w:t>
      </w:r>
      <w:r>
        <w:rPr>
          <w:rFonts w:ascii="Times New Roman" w:hAnsi="Times New Roman" w:cs="Times New Roman"/>
        </w:rPr>
        <w:t>а</w:t>
      </w:r>
      <w:r w:rsidRPr="00FA49FE">
        <w:rPr>
          <w:rFonts w:ascii="Times New Roman" w:hAnsi="Times New Roman" w:cs="Times New Roman"/>
        </w:rPr>
        <w:t xml:space="preserve"> САУ «СРО «Дело» (ИНН 5010029544, ОГРН 1035002205919, 141980, Московская область, г. Дубна, ул. Жуковского, д. 2),</w:t>
      </w:r>
      <w:r w:rsidRPr="000C6445">
        <w:rPr>
          <w:rFonts w:ascii="Times New Roman" w:hAnsi="Times New Roman" w:cs="Times New Roman"/>
        </w:rPr>
        <w:t xml:space="preserve"> действующего на основании решения </w:t>
      </w:r>
      <w:r w:rsidRPr="00FA49FE">
        <w:rPr>
          <w:rFonts w:ascii="Times New Roman" w:hAnsi="Times New Roman" w:cs="Times New Roman"/>
        </w:rPr>
        <w:t>Арбитражного суда города Москвы от 22.09.2020 г. (дата оглашения резолютивной части) по делу № А40-65232/19-101-78Ф</w:t>
      </w:r>
      <w:r w:rsidR="00B77B2E" w:rsidRPr="00E63BFF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ru-RU"/>
        </w:rPr>
        <w:t>именуемый</w:t>
      </w:r>
      <w:r w:rsidRPr="00111B29">
        <w:rPr>
          <w:rFonts w:ascii="Times New Roman" w:eastAsia="Times New Roman" w:hAnsi="Times New Roman" w:cs="Times New Roman"/>
          <w:bCs/>
          <w:lang w:eastAsia="ru-RU"/>
        </w:rPr>
        <w:t xml:space="preserve"> в дальнейшем 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Продавец</w:t>
      </w:r>
      <w:r w:rsidRPr="00111B29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7B2E" w:rsidRPr="00E63BFF">
        <w:rPr>
          <w:rFonts w:ascii="Times New Roman" w:eastAsia="Times New Roman" w:hAnsi="Times New Roman" w:cs="Times New Roman"/>
          <w:bCs/>
          <w:lang w:eastAsia="ru-RU"/>
        </w:rPr>
        <w:t>с одной стороны и</w:t>
      </w:r>
    </w:p>
    <w:p w:rsidR="00B77B2E" w:rsidRPr="001A33EE" w:rsidRDefault="001934E5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C62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65A4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3465A4">
        <w:rPr>
          <w:rFonts w:ascii="Times New Roman" w:eastAsia="Times New Roman" w:hAnsi="Times New Roman" w:cs="Times New Roman"/>
          <w:lang w:eastAsia="ru-RU"/>
        </w:rPr>
        <w:t>Имуществом</w:t>
      </w:r>
      <w:r w:rsidRPr="003465A4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9063D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9063DD">
            <w:pPr>
              <w:ind w:left="360" w:right="-1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открытых торгов в рамках </w:t>
      </w:r>
      <w:r w:rsidR="009063DD">
        <w:rPr>
          <w:rFonts w:ascii="Times New Roman" w:eastAsia="Times New Roman" w:hAnsi="Times New Roman" w:cs="Times New Roman"/>
          <w:lang w:eastAsia="ru-RU"/>
        </w:rPr>
        <w:t>процедуры реализации имущества гражданина Абрамова Владимира Юрьевича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 «О государственной регистрации недвижимости».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Покупателя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465A4">
        <w:rPr>
          <w:rFonts w:ascii="Times New Roman" w:eastAsia="Times New Roman" w:hAnsi="Times New Roman" w:cs="Times New Roman"/>
          <w:lang w:eastAsia="ru-RU"/>
        </w:rPr>
        <w:t>в аренду (краткосрочную или долгосрочную) не сдан</w:t>
      </w:r>
      <w:r w:rsidR="001715A1" w:rsidRPr="003465A4">
        <w:rPr>
          <w:rFonts w:ascii="Times New Roman" w:eastAsia="Times New Roman" w:hAnsi="Times New Roman" w:cs="Times New Roman"/>
          <w:lang w:eastAsia="ru-RU"/>
        </w:rPr>
        <w:t>о</w:t>
      </w:r>
      <w:r w:rsidRPr="003465A4">
        <w:rPr>
          <w:rFonts w:ascii="Times New Roman" w:eastAsia="Times New Roman" w:hAnsi="Times New Roman" w:cs="Times New Roman"/>
          <w:lang w:eastAsia="ru-RU"/>
        </w:rPr>
        <w:t>, в качестве вклада не внесен</w:t>
      </w:r>
      <w:r w:rsidR="001715A1" w:rsidRPr="003465A4">
        <w:rPr>
          <w:rFonts w:ascii="Times New Roman" w:eastAsia="Times New Roman" w:hAnsi="Times New Roman" w:cs="Times New Roman"/>
          <w:lang w:eastAsia="ru-RU"/>
        </w:rPr>
        <w:t>о</w:t>
      </w:r>
      <w:r w:rsidRPr="003465A4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3465A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65A4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мее</w:t>
      </w:r>
      <w:r w:rsidRPr="003465A4">
        <w:rPr>
          <w:rFonts w:ascii="Times New Roman" w:eastAsia="Times New Roman" w:hAnsi="Times New Roman" w:cs="Times New Roman"/>
          <w:lang w:eastAsia="ru-RU"/>
        </w:rPr>
        <w:t>тся о</w:t>
      </w:r>
      <w:r>
        <w:rPr>
          <w:rFonts w:ascii="Times New Roman" w:eastAsia="Times New Roman" w:hAnsi="Times New Roman" w:cs="Times New Roman"/>
          <w:lang w:eastAsia="ru-RU"/>
        </w:rPr>
        <w:t>бременение</w:t>
      </w:r>
      <w:r w:rsidR="00B77B2E" w:rsidRPr="003465A4">
        <w:rPr>
          <w:rFonts w:ascii="Times New Roman" w:eastAsia="Times New Roman" w:hAnsi="Times New Roman" w:cs="Times New Roman"/>
          <w:lang w:eastAsia="ru-RU"/>
        </w:rPr>
        <w:t xml:space="preserve"> (ограничени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="00B77B2E" w:rsidRPr="003465A4">
        <w:rPr>
          <w:rFonts w:ascii="Times New Roman" w:eastAsia="Times New Roman" w:hAnsi="Times New Roman" w:cs="Times New Roman"/>
          <w:lang w:eastAsia="ru-RU"/>
        </w:rPr>
        <w:t xml:space="preserve">): ипотека </w:t>
      </w:r>
      <w:r w:rsidR="003D617D" w:rsidRPr="003465A4">
        <w:rPr>
          <w:rFonts w:ascii="Times New Roman" w:eastAsia="Times New Roman" w:hAnsi="Times New Roman" w:cs="Times New Roman"/>
          <w:lang w:eastAsia="ru-RU"/>
        </w:rPr>
        <w:t xml:space="preserve">(залог) в пользу </w:t>
      </w:r>
      <w:r>
        <w:rPr>
          <w:rFonts w:ascii="Times New Roman" w:eastAsia="Times New Roman" w:hAnsi="Times New Roman" w:cs="Times New Roman"/>
          <w:lang w:eastAsia="ru-RU"/>
        </w:rPr>
        <w:t>ОАО АКБ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Пробизнесбанк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Pr="003465A4">
        <w:rPr>
          <w:rFonts w:ascii="Times New Roman" w:eastAsia="Times New Roman" w:hAnsi="Times New Roman" w:cs="Times New Roman"/>
          <w:lang w:eastAsia="ru-RU"/>
        </w:rPr>
        <w:t>7729086087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A3011B">
        <w:rPr>
          <w:rFonts w:ascii="Times New Roman" w:eastAsia="Times New Roman" w:hAnsi="Times New Roman" w:cs="Times New Roman"/>
          <w:b/>
          <w:lang w:eastAsia="ru-RU"/>
        </w:rPr>
        <w:t>коп.</w:t>
      </w:r>
      <w:r w:rsidRPr="00A3011B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A3011B">
        <w:rPr>
          <w:rFonts w:ascii="Times New Roman" w:eastAsia="Times New Roman" w:hAnsi="Times New Roman" w:cs="Times New Roman"/>
          <w:lang w:eastAsia="ru-RU"/>
        </w:rPr>
        <w:t xml:space="preserve">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3011B">
        <w:rPr>
          <w:rFonts w:ascii="Times New Roman" w:eastAsia="Times New Roman" w:hAnsi="Times New Roman" w:cs="Times New Roman"/>
          <w:lang w:eastAsia="ru-RU"/>
        </w:rPr>
        <w:t>коп.,</w:t>
      </w:r>
      <w:proofErr w:type="gramEnd"/>
      <w:r w:rsidRPr="00A3011B">
        <w:rPr>
          <w:rFonts w:ascii="Times New Roman" w:eastAsia="Times New Roman" w:hAnsi="Times New Roman" w:cs="Times New Roman"/>
          <w:lang w:eastAsia="ru-RU"/>
        </w:rPr>
        <w:t xml:space="preserve">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lastRenderedPageBreak/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</w:t>
      </w:r>
      <w:r w:rsidR="00111B29" w:rsidRPr="00A3011B">
        <w:rPr>
          <w:rFonts w:ascii="Times New Roman" w:eastAsia="Times New Roman" w:hAnsi="Times New Roman" w:cs="Times New Roman"/>
          <w:lang w:eastAsia="ru-RU"/>
        </w:rPr>
        <w:t>уменьшенной на размер задатка,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службы государственной регистрации, кадастра и картографии,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не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1D2639" w:rsidRPr="001A33EE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</w:t>
      </w:r>
      <w:r w:rsidR="00CE5E22">
        <w:rPr>
          <w:rFonts w:ascii="Times New Roman" w:eastAsia="Times New Roman" w:hAnsi="Times New Roman" w:cs="Times New Roman"/>
          <w:lang w:eastAsia="ru-RU"/>
        </w:rPr>
        <w:t xml:space="preserve">трации, кадастра и картографии </w:t>
      </w:r>
      <w:r w:rsidR="00E35B66">
        <w:rPr>
          <w:rFonts w:ascii="Times New Roman" w:eastAsia="Times New Roman" w:hAnsi="Times New Roman" w:cs="Times New Roman"/>
          <w:lang w:eastAsia="ru-RU"/>
        </w:rPr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>
        <w:rPr>
          <w:rFonts w:ascii="Times New Roman" w:eastAsia="Times New Roman" w:hAnsi="Times New Roman" w:cs="Times New Roman"/>
          <w:lang w:eastAsia="ru-RU"/>
        </w:rPr>
        <w:t>страции, кадастра 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переходят </w:t>
      </w:r>
      <w:r w:rsidR="003465A4" w:rsidRPr="001A33EE">
        <w:rPr>
          <w:rFonts w:ascii="Times New Roman" w:eastAsia="Times New Roman" w:hAnsi="Times New Roman" w:cs="Times New Roman"/>
          <w:lang w:eastAsia="ru-RU"/>
        </w:rPr>
        <w:t>к Покупателю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3465A4" w:rsidRPr="001A33EE">
        <w:rPr>
          <w:rFonts w:ascii="Times New Roman" w:eastAsia="Times New Roman" w:hAnsi="Times New Roman" w:cs="Times New Roman"/>
          <w:lang w:eastAsia="ru-RU"/>
        </w:rPr>
        <w:t>момента подписания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йной порчи </w:t>
      </w:r>
      <w:r w:rsidR="003465A4">
        <w:rPr>
          <w:rFonts w:ascii="Times New Roman" w:eastAsia="Times New Roman" w:hAnsi="Times New Roman" w:cs="Times New Roman"/>
          <w:lang w:eastAsia="ru-RU"/>
        </w:rPr>
        <w:t>и утраты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 xml:space="preserve"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955BEE">
        <w:rPr>
          <w:rFonts w:ascii="Times New Roman" w:eastAsia="Times New Roman" w:hAnsi="Times New Roman" w:cs="Times New Roman"/>
          <w:lang w:eastAsia="ru-RU"/>
        </w:rPr>
        <w:t>Московской области</w:t>
      </w:r>
      <w:r w:rsidRPr="009D7DFA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3465A4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срок предусмотренный п.3.1.2 и </w:t>
      </w:r>
      <w:proofErr w:type="gramStart"/>
      <w:r w:rsidR="006170F1">
        <w:rPr>
          <w:rFonts w:ascii="Times New Roman" w:eastAsia="Times New Roman" w:hAnsi="Times New Roman" w:cs="Times New Roman"/>
          <w:lang w:eastAsia="ru-RU"/>
        </w:rPr>
        <w:t>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6170F1" w:rsidRPr="006170F1">
        <w:rPr>
          <w:rFonts w:ascii="Times New Roman" w:eastAsia="Times New Roman" w:hAnsi="Times New Roman" w:cs="Times New Roman"/>
          <w:lang w:eastAsia="ru-RU"/>
        </w:rPr>
        <w:t xml:space="preserve">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>
        <w:rPr>
          <w:rFonts w:ascii="Times New Roman" w:eastAsia="Times New Roman" w:hAnsi="Times New Roman" w:cs="Times New Roman"/>
          <w:lang w:eastAsia="ru-RU"/>
        </w:rPr>
        <w:t>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, по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3465A4" w:rsidRPr="001A33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65A4" w:rsidRPr="001A33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 w:rsidRPr="003465A4">
              <w:rPr>
                <w:rFonts w:ascii="Times New Roman" w:hAnsi="Times New Roman"/>
              </w:rPr>
              <w:t>Адрес для корреспонденции (обязательно):</w:t>
            </w:r>
            <w:bookmarkStart w:id="0" w:name="_GoBack"/>
            <w:bookmarkEnd w:id="0"/>
          </w:p>
          <w:p w:rsidR="003465A4" w:rsidRDefault="003465A4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123610, г. Москва, Краснопресненская наб., д. 12, подъезд 4, оф. 1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BB2C15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 w:rsidR="00C04D9B" w:rsidRPr="00CC12D8">
              <w:rPr>
                <w:rFonts w:ascii="Times New Roman" w:hAnsi="Times New Roman"/>
              </w:rPr>
              <w:t xml:space="preserve">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CC1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</w:t>
      </w:r>
      <w:proofErr w:type="gramStart"/>
      <w:r w:rsidRPr="00383C03">
        <w:rPr>
          <w:rFonts w:ascii="Times New Roman" w:hAnsi="Times New Roman" w:cs="Times New Roman"/>
        </w:rPr>
        <w:t xml:space="preserve">   </w:t>
      </w:r>
      <w:r w:rsidR="00954F82">
        <w:rPr>
          <w:rFonts w:ascii="Times New Roman" w:hAnsi="Times New Roman" w:cs="Times New Roman"/>
        </w:rPr>
        <w:t>«</w:t>
      </w:r>
      <w:proofErr w:type="gramEnd"/>
      <w:r w:rsidRPr="00383C03">
        <w:rPr>
          <w:rFonts w:ascii="Times New Roman" w:hAnsi="Times New Roman" w:cs="Times New Roman"/>
        </w:rPr>
        <w:t xml:space="preserve"> ___</w:t>
      </w:r>
      <w:r w:rsidR="00954F82">
        <w:rPr>
          <w:rFonts w:ascii="Times New Roman" w:hAnsi="Times New Roman" w:cs="Times New Roman"/>
        </w:rPr>
        <w:t>»</w:t>
      </w:r>
      <w:r w:rsidRPr="00383C03">
        <w:rPr>
          <w:rFonts w:ascii="Times New Roman" w:hAnsi="Times New Roman" w:cs="Times New Roman"/>
        </w:rPr>
        <w:t xml:space="preserve"> </w:t>
      </w:r>
      <w:r w:rsidR="00BB2C15">
        <w:rPr>
          <w:rFonts w:ascii="Times New Roman" w:hAnsi="Times New Roman" w:cs="Times New Roman"/>
        </w:rPr>
        <w:t>________</w:t>
      </w:r>
      <w:r w:rsidRPr="00383C03">
        <w:rPr>
          <w:rFonts w:ascii="Times New Roman" w:hAnsi="Times New Roman" w:cs="Times New Roman"/>
        </w:rPr>
        <w:t xml:space="preserve"> 20</w:t>
      </w:r>
      <w:r w:rsidR="00BB2C15">
        <w:rPr>
          <w:rFonts w:ascii="Times New Roman" w:hAnsi="Times New Roman" w:cs="Times New Roman"/>
        </w:rPr>
        <w:t>20</w:t>
      </w:r>
      <w:r w:rsidRPr="00383C03">
        <w:rPr>
          <w:rFonts w:ascii="Times New Roman" w:hAnsi="Times New Roman" w:cs="Times New Roman"/>
        </w:rPr>
        <w:t xml:space="preserve">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111B29" w:rsidRPr="00E63BFF" w:rsidRDefault="00111B29" w:rsidP="00111B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523A">
        <w:rPr>
          <w:rFonts w:ascii="Times New Roman" w:hAnsi="Times New Roman" w:cs="Times New Roman"/>
          <w:b/>
        </w:rPr>
        <w:t xml:space="preserve">Гражданин Российской Федерации </w:t>
      </w:r>
      <w:r w:rsidRPr="00A912C6">
        <w:rPr>
          <w:rFonts w:ascii="Times New Roman" w:hAnsi="Times New Roman" w:cs="Times New Roman"/>
          <w:bCs/>
        </w:rPr>
        <w:t>Абрамов Владимир Юрьевич</w:t>
      </w:r>
      <w:r w:rsidRPr="000C6445">
        <w:rPr>
          <w:rFonts w:ascii="Times New Roman" w:hAnsi="Times New Roman" w:cs="Times New Roman"/>
          <w:bCs/>
        </w:rPr>
        <w:t xml:space="preserve"> (</w:t>
      </w:r>
      <w:r w:rsidRPr="00A912C6">
        <w:rPr>
          <w:rFonts w:ascii="Times New Roman" w:hAnsi="Times New Roman" w:cs="Times New Roman"/>
          <w:bCs/>
        </w:rPr>
        <w:t>01.03.1973</w:t>
      </w:r>
      <w:r>
        <w:rPr>
          <w:rFonts w:ascii="Times New Roman" w:hAnsi="Times New Roman" w:cs="Times New Roman"/>
          <w:bCs/>
        </w:rPr>
        <w:t xml:space="preserve"> г.р.</w:t>
      </w:r>
      <w:r w:rsidRPr="000C6445">
        <w:rPr>
          <w:rFonts w:ascii="Times New Roman" w:hAnsi="Times New Roman" w:cs="Times New Roman"/>
          <w:bCs/>
        </w:rPr>
        <w:t xml:space="preserve">, место рождения: </w:t>
      </w:r>
      <w:r w:rsidRPr="00A912C6">
        <w:rPr>
          <w:rFonts w:ascii="Times New Roman" w:hAnsi="Times New Roman" w:cs="Times New Roman"/>
          <w:bCs/>
        </w:rPr>
        <w:t>г. Владивосток</w:t>
      </w:r>
      <w:r w:rsidRPr="000C6445">
        <w:rPr>
          <w:rFonts w:ascii="Times New Roman" w:hAnsi="Times New Roman" w:cs="Times New Roman"/>
          <w:bCs/>
        </w:rPr>
        <w:t xml:space="preserve">, СНИЛС </w:t>
      </w:r>
      <w:r w:rsidRPr="00A912C6">
        <w:rPr>
          <w:rFonts w:ascii="Times New Roman" w:hAnsi="Times New Roman" w:cs="Times New Roman"/>
          <w:bCs/>
        </w:rPr>
        <w:t>031-688-480 66</w:t>
      </w:r>
      <w:r w:rsidRPr="000C6445">
        <w:rPr>
          <w:rFonts w:ascii="Times New Roman" w:hAnsi="Times New Roman" w:cs="Times New Roman"/>
          <w:bCs/>
        </w:rPr>
        <w:t xml:space="preserve">, ИНН </w:t>
      </w:r>
      <w:r w:rsidRPr="00A912C6">
        <w:rPr>
          <w:rFonts w:ascii="Times New Roman" w:hAnsi="Times New Roman" w:cs="Times New Roman"/>
          <w:bCs/>
        </w:rPr>
        <w:t>772637221164</w:t>
      </w:r>
      <w:r w:rsidRPr="000C6445">
        <w:rPr>
          <w:rFonts w:ascii="Times New Roman" w:hAnsi="Times New Roman" w:cs="Times New Roman"/>
          <w:bCs/>
        </w:rPr>
        <w:t xml:space="preserve">, регистрация по месту жительства: </w:t>
      </w:r>
      <w:r w:rsidRPr="00A912C6">
        <w:rPr>
          <w:rFonts w:ascii="Times New Roman" w:hAnsi="Times New Roman" w:cs="Times New Roman"/>
          <w:bCs/>
        </w:rPr>
        <w:t xml:space="preserve">117570, г. Москва, ул. Днепропетровская, д. 16, </w:t>
      </w:r>
      <w:r>
        <w:rPr>
          <w:rFonts w:ascii="Times New Roman" w:hAnsi="Times New Roman" w:cs="Times New Roman"/>
          <w:bCs/>
        </w:rPr>
        <w:t xml:space="preserve">корп. 8, </w:t>
      </w:r>
      <w:r w:rsidRPr="00A912C6">
        <w:rPr>
          <w:rFonts w:ascii="Times New Roman" w:hAnsi="Times New Roman" w:cs="Times New Roman"/>
          <w:bCs/>
        </w:rPr>
        <w:t>кв. 14</w:t>
      </w:r>
      <w:r w:rsidRPr="000C6445">
        <w:rPr>
          <w:rFonts w:ascii="Times New Roman" w:hAnsi="Times New Roman" w:cs="Times New Roman"/>
          <w:bCs/>
        </w:rPr>
        <w:t>)</w:t>
      </w:r>
      <w:r w:rsidRPr="006E523A">
        <w:rPr>
          <w:rFonts w:ascii="Times New Roman" w:hAnsi="Times New Roman" w:cs="Times New Roman"/>
        </w:rPr>
        <w:t xml:space="preserve">, </w:t>
      </w:r>
      <w:r w:rsidRPr="006E523A">
        <w:rPr>
          <w:rFonts w:ascii="Times New Roman" w:hAnsi="Times New Roman" w:cs="Times New Roman"/>
          <w:b/>
        </w:rPr>
        <w:t xml:space="preserve">в лице финансового управляющего </w:t>
      </w:r>
      <w:r w:rsidRPr="00FA49FE">
        <w:rPr>
          <w:rFonts w:ascii="Times New Roman" w:hAnsi="Times New Roman" w:cs="Times New Roman"/>
          <w:b/>
        </w:rPr>
        <w:t>Воронин</w:t>
      </w:r>
      <w:r>
        <w:rPr>
          <w:rFonts w:ascii="Times New Roman" w:hAnsi="Times New Roman" w:cs="Times New Roman"/>
          <w:b/>
        </w:rPr>
        <w:t>а Дмитрия</w:t>
      </w:r>
      <w:r w:rsidRPr="00FA49FE">
        <w:rPr>
          <w:rFonts w:ascii="Times New Roman" w:hAnsi="Times New Roman" w:cs="Times New Roman"/>
          <w:b/>
        </w:rPr>
        <w:t xml:space="preserve"> Вадимович</w:t>
      </w:r>
      <w:r>
        <w:rPr>
          <w:rFonts w:ascii="Times New Roman" w:hAnsi="Times New Roman" w:cs="Times New Roman"/>
          <w:b/>
        </w:rPr>
        <w:t>а</w:t>
      </w:r>
      <w:r w:rsidRPr="00FA49FE">
        <w:rPr>
          <w:rFonts w:ascii="Times New Roman" w:hAnsi="Times New Roman" w:cs="Times New Roman"/>
          <w:b/>
        </w:rPr>
        <w:t xml:space="preserve"> </w:t>
      </w:r>
      <w:r w:rsidRPr="00FA49FE">
        <w:rPr>
          <w:rFonts w:ascii="Times New Roman" w:hAnsi="Times New Roman" w:cs="Times New Roman"/>
        </w:rPr>
        <w:t>(ИНН 420545661764, С</w:t>
      </w:r>
      <w:r>
        <w:rPr>
          <w:rFonts w:ascii="Times New Roman" w:hAnsi="Times New Roman" w:cs="Times New Roman"/>
        </w:rPr>
        <w:t xml:space="preserve">НИЛС 156-171-385 65, рег. номер: </w:t>
      </w:r>
      <w:r w:rsidRPr="00FA49FE">
        <w:rPr>
          <w:rFonts w:ascii="Times New Roman" w:hAnsi="Times New Roman" w:cs="Times New Roman"/>
        </w:rPr>
        <w:t>13149), член</w:t>
      </w:r>
      <w:r>
        <w:rPr>
          <w:rFonts w:ascii="Times New Roman" w:hAnsi="Times New Roman" w:cs="Times New Roman"/>
        </w:rPr>
        <w:t>а</w:t>
      </w:r>
      <w:r w:rsidRPr="00FA49FE">
        <w:rPr>
          <w:rFonts w:ascii="Times New Roman" w:hAnsi="Times New Roman" w:cs="Times New Roman"/>
        </w:rPr>
        <w:t xml:space="preserve"> САУ «СРО «Дело» (ИНН 5010029544, ОГРН 1035002205919, 141980, Московская область, г. Дубна, ул. Жуковского, д. 2),</w:t>
      </w:r>
      <w:r w:rsidRPr="000C6445">
        <w:rPr>
          <w:rFonts w:ascii="Times New Roman" w:hAnsi="Times New Roman" w:cs="Times New Roman"/>
        </w:rPr>
        <w:t xml:space="preserve"> действующего на основании решения </w:t>
      </w:r>
      <w:r w:rsidRPr="00FA49FE">
        <w:rPr>
          <w:rFonts w:ascii="Times New Roman" w:hAnsi="Times New Roman" w:cs="Times New Roman"/>
        </w:rPr>
        <w:t>Арбитражного суда города Москвы от 22.09.2020 г. (дата оглашения резолютивной части) по делу № А40-65232/19-101-78Ф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ru-RU"/>
        </w:rPr>
        <w:t>именуемый</w:t>
      </w:r>
      <w:r w:rsidRPr="00111B29">
        <w:rPr>
          <w:rFonts w:ascii="Times New Roman" w:eastAsia="Times New Roman" w:hAnsi="Times New Roman" w:cs="Times New Roman"/>
          <w:bCs/>
          <w:lang w:eastAsia="ru-RU"/>
        </w:rPr>
        <w:t xml:space="preserve"> в дальнейшем 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Продавец</w:t>
      </w:r>
      <w:r w:rsidRPr="00111B29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с одной стороны и</w:t>
      </w:r>
    </w:p>
    <w:p w:rsidR="00B31F85" w:rsidRPr="00B31F85" w:rsidRDefault="00BB2C1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r w:rsidR="00803861" w:rsidRPr="00F22A19">
        <w:rPr>
          <w:sz w:val="22"/>
          <w:szCs w:val="22"/>
        </w:rPr>
        <w:t xml:space="preserve">от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>.</w:t>
      </w:r>
      <w:r w:rsidR="00BA66AB">
        <w:rPr>
          <w:sz w:val="22"/>
          <w:szCs w:val="22"/>
        </w:rPr>
        <w:t xml:space="preserve"> </w:t>
      </w:r>
      <w:r w:rsidRPr="00B31F85">
        <w:rPr>
          <w:rStyle w:val="aa"/>
          <w:b w:val="0"/>
          <w:sz w:val="22"/>
          <w:szCs w:val="22"/>
        </w:rPr>
        <w:t>Покупатель</w:t>
      </w:r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BB2C15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 w:rsidR="009E2B36" w:rsidRPr="00CC12D8">
              <w:rPr>
                <w:rFonts w:ascii="Times New Roman" w:hAnsi="Times New Roman"/>
              </w:rPr>
              <w:t xml:space="preserve"> управляющий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7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AB" w:rsidRDefault="00BA66AB" w:rsidP="00B77B2E">
      <w:pPr>
        <w:spacing w:after="0" w:line="240" w:lineRule="auto"/>
      </w:pPr>
      <w:r>
        <w:separator/>
      </w:r>
    </w:p>
  </w:endnote>
  <w:endnote w:type="continuationSeparator" w:id="0">
    <w:p w:rsidR="00BA66AB" w:rsidRDefault="00BA66AB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88281"/>
      <w:docPartObj>
        <w:docPartGallery w:val="Page Numbers (Bottom of Page)"/>
        <w:docPartUnique/>
      </w:docPartObj>
    </w:sdtPr>
    <w:sdtEndPr/>
    <w:sdtContent>
      <w:p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65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AB" w:rsidRDefault="00BA66AB" w:rsidP="00B77B2E">
      <w:pPr>
        <w:spacing w:after="0" w:line="240" w:lineRule="auto"/>
      </w:pPr>
      <w:r>
        <w:separator/>
      </w:r>
    </w:p>
  </w:footnote>
  <w:footnote w:type="continuationSeparator" w:id="0">
    <w:p w:rsidR="00BA66AB" w:rsidRDefault="00BA66AB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11B29"/>
    <w:rsid w:val="00154574"/>
    <w:rsid w:val="001715A1"/>
    <w:rsid w:val="001934E5"/>
    <w:rsid w:val="001A33EE"/>
    <w:rsid w:val="001A67E8"/>
    <w:rsid w:val="001D2639"/>
    <w:rsid w:val="00202870"/>
    <w:rsid w:val="00284A0B"/>
    <w:rsid w:val="002A0DF3"/>
    <w:rsid w:val="002D7291"/>
    <w:rsid w:val="002F331C"/>
    <w:rsid w:val="00345DA5"/>
    <w:rsid w:val="003465A4"/>
    <w:rsid w:val="00355FCB"/>
    <w:rsid w:val="00383C03"/>
    <w:rsid w:val="003D617D"/>
    <w:rsid w:val="003D791E"/>
    <w:rsid w:val="003E73CC"/>
    <w:rsid w:val="00411E96"/>
    <w:rsid w:val="004A511C"/>
    <w:rsid w:val="00551E80"/>
    <w:rsid w:val="006170F1"/>
    <w:rsid w:val="006238CD"/>
    <w:rsid w:val="0067196B"/>
    <w:rsid w:val="0067548A"/>
    <w:rsid w:val="00686D8A"/>
    <w:rsid w:val="00750E06"/>
    <w:rsid w:val="007A4CB0"/>
    <w:rsid w:val="007F7B76"/>
    <w:rsid w:val="00803861"/>
    <w:rsid w:val="00833DCB"/>
    <w:rsid w:val="00842888"/>
    <w:rsid w:val="008C3272"/>
    <w:rsid w:val="009063DD"/>
    <w:rsid w:val="00947345"/>
    <w:rsid w:val="00954F82"/>
    <w:rsid w:val="00955BEE"/>
    <w:rsid w:val="0099639B"/>
    <w:rsid w:val="009D24B5"/>
    <w:rsid w:val="009D7DFA"/>
    <w:rsid w:val="009E2B36"/>
    <w:rsid w:val="00A14AC4"/>
    <w:rsid w:val="00A15762"/>
    <w:rsid w:val="00A3011B"/>
    <w:rsid w:val="00AA7E58"/>
    <w:rsid w:val="00B31F85"/>
    <w:rsid w:val="00B77B2E"/>
    <w:rsid w:val="00B84621"/>
    <w:rsid w:val="00BA66AB"/>
    <w:rsid w:val="00BB2C15"/>
    <w:rsid w:val="00BB69BA"/>
    <w:rsid w:val="00BC0853"/>
    <w:rsid w:val="00C04D9B"/>
    <w:rsid w:val="00C42DEC"/>
    <w:rsid w:val="00C44167"/>
    <w:rsid w:val="00C62D86"/>
    <w:rsid w:val="00CC12D8"/>
    <w:rsid w:val="00CD65A4"/>
    <w:rsid w:val="00CE5E22"/>
    <w:rsid w:val="00D27001"/>
    <w:rsid w:val="00D27F94"/>
    <w:rsid w:val="00D751D6"/>
    <w:rsid w:val="00D77B5D"/>
    <w:rsid w:val="00D95296"/>
    <w:rsid w:val="00DA778A"/>
    <w:rsid w:val="00DC578F"/>
    <w:rsid w:val="00DD2C55"/>
    <w:rsid w:val="00DF061F"/>
    <w:rsid w:val="00DF5208"/>
    <w:rsid w:val="00E35B66"/>
    <w:rsid w:val="00E63BFF"/>
    <w:rsid w:val="00E74897"/>
    <w:rsid w:val="00EC553A"/>
    <w:rsid w:val="00EC735A"/>
    <w:rsid w:val="00F000DC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36900-F1BE-436A-BE95-FC9B5AEE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0"/>
    <w:rsid w:val="00BB2C15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0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1576-185F-4C99-BA90-BB5094AF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Diana Sidoristova</cp:lastModifiedBy>
  <cp:revision>12</cp:revision>
  <cp:lastPrinted>2017-09-12T13:23:00Z</cp:lastPrinted>
  <dcterms:created xsi:type="dcterms:W3CDTF">2020-07-08T10:10:00Z</dcterms:created>
  <dcterms:modified xsi:type="dcterms:W3CDTF">2021-04-14T13:13:00Z</dcterms:modified>
</cp:coreProperties>
</file>