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34" w:rsidRDefault="00BA5AA7" w:rsidP="00771DA0">
      <w:pPr>
        <w:ind w:firstLine="709"/>
        <w:jc w:val="center"/>
        <w:rPr>
          <w:spacing w:val="3"/>
          <w:sz w:val="22"/>
          <w:szCs w:val="22"/>
        </w:rPr>
      </w:pPr>
      <w:r w:rsidRPr="004427D0">
        <w:rPr>
          <w:spacing w:val="3"/>
          <w:sz w:val="22"/>
          <w:szCs w:val="22"/>
        </w:rPr>
        <w:t>РАСПОРЯЖЕНИЕ</w:t>
      </w:r>
      <w:r w:rsidR="009F49BE" w:rsidRPr="004427D0">
        <w:rPr>
          <w:spacing w:val="3"/>
          <w:sz w:val="22"/>
          <w:szCs w:val="22"/>
        </w:rPr>
        <w:t xml:space="preserve"> </w:t>
      </w:r>
      <w:r w:rsidR="00F070CE" w:rsidRPr="004427D0">
        <w:rPr>
          <w:spacing w:val="3"/>
          <w:sz w:val="22"/>
          <w:szCs w:val="22"/>
        </w:rPr>
        <w:t xml:space="preserve">№ </w:t>
      </w:r>
      <w:r w:rsidR="008751AE" w:rsidRPr="004427D0">
        <w:rPr>
          <w:spacing w:val="3"/>
          <w:sz w:val="22"/>
          <w:szCs w:val="22"/>
        </w:rPr>
        <w:t>1</w:t>
      </w:r>
    </w:p>
    <w:p w:rsidR="00771DA0" w:rsidRDefault="00076848" w:rsidP="00771DA0">
      <w:pPr>
        <w:ind w:firstLine="709"/>
        <w:jc w:val="center"/>
        <w:rPr>
          <w:spacing w:val="3"/>
          <w:sz w:val="22"/>
          <w:szCs w:val="22"/>
        </w:rPr>
      </w:pPr>
      <w:r w:rsidRPr="00B40BCD">
        <w:rPr>
          <w:spacing w:val="3"/>
          <w:sz w:val="22"/>
          <w:szCs w:val="22"/>
        </w:rPr>
        <w:t>О</w:t>
      </w:r>
      <w:r w:rsidR="009F49BE" w:rsidRPr="00B40BCD">
        <w:rPr>
          <w:spacing w:val="3"/>
          <w:sz w:val="22"/>
          <w:szCs w:val="22"/>
        </w:rPr>
        <w:t xml:space="preserve"> </w:t>
      </w:r>
      <w:r w:rsidR="008700C9">
        <w:rPr>
          <w:spacing w:val="3"/>
          <w:sz w:val="22"/>
          <w:szCs w:val="22"/>
        </w:rPr>
        <w:t>ВНЕСЕНИИ ИЗМЕНЕНИЙ В</w:t>
      </w:r>
      <w:r w:rsidR="00BA5AA7" w:rsidRPr="00B40BCD">
        <w:rPr>
          <w:spacing w:val="3"/>
          <w:sz w:val="22"/>
          <w:szCs w:val="22"/>
        </w:rPr>
        <w:t xml:space="preserve"> </w:t>
      </w:r>
      <w:r w:rsidR="008700C9">
        <w:rPr>
          <w:spacing w:val="3"/>
          <w:sz w:val="22"/>
          <w:szCs w:val="22"/>
        </w:rPr>
        <w:t>ТОРГИ</w:t>
      </w:r>
      <w:r w:rsidR="00F070CE">
        <w:rPr>
          <w:spacing w:val="3"/>
          <w:sz w:val="22"/>
          <w:szCs w:val="22"/>
        </w:rPr>
        <w:t xml:space="preserve"> </w:t>
      </w:r>
    </w:p>
    <w:p w:rsidR="00CE0AA9" w:rsidRDefault="00771DA0" w:rsidP="00771DA0">
      <w:pPr>
        <w:ind w:firstLine="709"/>
        <w:jc w:val="center"/>
        <w:rPr>
          <w:sz w:val="22"/>
          <w:szCs w:val="22"/>
        </w:rPr>
      </w:pPr>
      <w:r w:rsidRPr="00B40BCD">
        <w:rPr>
          <w:sz w:val="22"/>
          <w:szCs w:val="22"/>
        </w:rPr>
        <w:t xml:space="preserve">к поручению от </w:t>
      </w:r>
      <w:r w:rsidR="004427D0" w:rsidRPr="004427D0">
        <w:rPr>
          <w:sz w:val="22"/>
          <w:szCs w:val="22"/>
        </w:rPr>
        <w:t>0</w:t>
      </w:r>
      <w:r w:rsidR="004427D0" w:rsidRPr="00066452">
        <w:rPr>
          <w:noProof/>
          <w:spacing w:val="-2"/>
          <w:sz w:val="22"/>
          <w:szCs w:val="22"/>
        </w:rPr>
        <w:t>1 марта 2021</w:t>
      </w:r>
      <w:r w:rsidR="004427D0" w:rsidRPr="00A9645C">
        <w:rPr>
          <w:b w:val="0"/>
          <w:spacing w:val="-2"/>
          <w:sz w:val="22"/>
          <w:szCs w:val="22"/>
        </w:rPr>
        <w:t xml:space="preserve"> </w:t>
      </w:r>
      <w:r w:rsidR="004427D0" w:rsidRPr="00066452">
        <w:rPr>
          <w:spacing w:val="-2"/>
          <w:sz w:val="22"/>
          <w:szCs w:val="22"/>
        </w:rPr>
        <w:t>г.</w:t>
      </w:r>
      <w:r w:rsidR="004427D0" w:rsidRPr="00217F0A">
        <w:rPr>
          <w:spacing w:val="3"/>
          <w:sz w:val="22"/>
          <w:szCs w:val="22"/>
        </w:rPr>
        <w:t xml:space="preserve">№ </w:t>
      </w:r>
      <w:r w:rsidR="004427D0" w:rsidRPr="00217F0A">
        <w:rPr>
          <w:sz w:val="22"/>
          <w:szCs w:val="22"/>
        </w:rPr>
        <w:t>2019-5210/16-П</w:t>
      </w:r>
      <w:r w:rsidR="004427D0">
        <w:rPr>
          <w:sz w:val="22"/>
          <w:szCs w:val="22"/>
        </w:rPr>
        <w:t>2</w:t>
      </w:r>
    </w:p>
    <w:p w:rsidR="003E2968" w:rsidRDefault="00771DA0" w:rsidP="00771DA0">
      <w:pPr>
        <w:ind w:firstLine="709"/>
        <w:jc w:val="center"/>
        <w:rPr>
          <w:sz w:val="22"/>
          <w:szCs w:val="22"/>
        </w:rPr>
      </w:pPr>
      <w:r w:rsidRPr="00B40BCD">
        <w:rPr>
          <w:sz w:val="22"/>
          <w:szCs w:val="22"/>
        </w:rPr>
        <w:t>об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8751AE" w:rsidRPr="00B40BCD" w:rsidRDefault="004427D0" w:rsidP="008510E5">
      <w:pPr>
        <w:tabs>
          <w:tab w:val="left" w:leader="underscore" w:pos="2835"/>
        </w:tabs>
        <w:spacing w:line="360" w:lineRule="auto"/>
        <w:jc w:val="center"/>
        <w:rPr>
          <w:spacing w:val="3"/>
          <w:sz w:val="22"/>
          <w:szCs w:val="22"/>
        </w:rPr>
      </w:pPr>
      <w:proofErr w:type="gramStart"/>
      <w:r w:rsidRPr="004427D0">
        <w:rPr>
          <w:spacing w:val="3"/>
          <w:sz w:val="22"/>
          <w:szCs w:val="22"/>
          <w:lang w:val="en-US"/>
        </w:rPr>
        <w:t xml:space="preserve">15 </w:t>
      </w:r>
      <w:proofErr w:type="spellStart"/>
      <w:r w:rsidRPr="004427D0">
        <w:rPr>
          <w:spacing w:val="3"/>
          <w:sz w:val="22"/>
          <w:szCs w:val="22"/>
          <w:lang w:val="en-US"/>
        </w:rPr>
        <w:t>июня</w:t>
      </w:r>
      <w:proofErr w:type="spellEnd"/>
      <w:proofErr w:type="gramEnd"/>
      <w:r w:rsidR="00E02DF6" w:rsidRPr="004427D0">
        <w:rPr>
          <w:spacing w:val="3"/>
          <w:sz w:val="22"/>
          <w:szCs w:val="22"/>
        </w:rPr>
        <w:t xml:space="preserve"> 202</w:t>
      </w:r>
      <w:r w:rsidR="00C964D4" w:rsidRPr="004427D0">
        <w:rPr>
          <w:spacing w:val="3"/>
          <w:sz w:val="22"/>
          <w:szCs w:val="22"/>
        </w:rPr>
        <w:t>1</w:t>
      </w:r>
      <w:r w:rsidR="00B40BCD" w:rsidRPr="004427D0">
        <w:rPr>
          <w:spacing w:val="3"/>
          <w:sz w:val="22"/>
          <w:szCs w:val="22"/>
        </w:rPr>
        <w:t xml:space="preserve"> г.</w:t>
      </w:r>
    </w:p>
    <w:p w:rsidR="009F49BE" w:rsidRPr="00B40BCD" w:rsidRDefault="00617EA2" w:rsidP="00617EA2">
      <w:pPr>
        <w:tabs>
          <w:tab w:val="left" w:pos="2512"/>
          <w:tab w:val="left" w:leader="underscore" w:pos="2835"/>
        </w:tabs>
        <w:jc w:val="both"/>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8510E5">
        <w:rPr>
          <w:spacing w:val="3"/>
          <w:sz w:val="22"/>
          <w:szCs w:val="22"/>
        </w:rPr>
        <w:t>–</w:t>
      </w:r>
      <w:r w:rsidR="00CB7DA3" w:rsidRPr="00B40BCD">
        <w:rPr>
          <w:spacing w:val="3"/>
          <w:sz w:val="22"/>
          <w:szCs w:val="22"/>
        </w:rPr>
        <w:t xml:space="preserve"> </w:t>
      </w:r>
      <w:r w:rsidR="004427D0" w:rsidRPr="00A9645C">
        <w:rPr>
          <w:noProof/>
          <w:spacing w:val="3"/>
          <w:sz w:val="22"/>
          <w:szCs w:val="22"/>
        </w:rPr>
        <w:t>13 марта 2021 г.</w:t>
      </w:r>
    </w:p>
    <w:p w:rsidR="008751AE"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8751AE">
        <w:rPr>
          <w:sz w:val="23"/>
          <w:szCs w:val="23"/>
        </w:rPr>
        <w:t xml:space="preserve">Наименование ликвидируемой финансовой организации – </w:t>
      </w:r>
      <w:r w:rsidR="004427D0">
        <w:rPr>
          <w:spacing w:val="3"/>
          <w:sz w:val="22"/>
          <w:szCs w:val="22"/>
        </w:rPr>
        <w:t>Открытое акционерное общество «Акционерный коммерческий банк «</w:t>
      </w:r>
      <w:r w:rsidR="004427D0" w:rsidRPr="00217F0A">
        <w:rPr>
          <w:spacing w:val="3"/>
          <w:sz w:val="22"/>
          <w:szCs w:val="22"/>
        </w:rPr>
        <w:t>Русский земельный банк</w:t>
      </w:r>
      <w:r w:rsidR="004427D0">
        <w:rPr>
          <w:spacing w:val="3"/>
          <w:sz w:val="22"/>
          <w:szCs w:val="22"/>
        </w:rPr>
        <w:t>»</w:t>
      </w:r>
      <w:r w:rsidR="004427D0" w:rsidRPr="00217F0A">
        <w:rPr>
          <w:spacing w:val="3"/>
          <w:sz w:val="22"/>
          <w:szCs w:val="22"/>
        </w:rPr>
        <w:t xml:space="preserve"> (</w:t>
      </w:r>
      <w:r w:rsidR="004427D0">
        <w:rPr>
          <w:spacing w:val="3"/>
          <w:sz w:val="22"/>
          <w:szCs w:val="22"/>
        </w:rPr>
        <w:t>ОАО АКБ «</w:t>
      </w:r>
      <w:r w:rsidR="004427D0" w:rsidRPr="00217F0A">
        <w:rPr>
          <w:spacing w:val="3"/>
          <w:sz w:val="22"/>
          <w:szCs w:val="22"/>
        </w:rPr>
        <w:t>Русский земельный</w:t>
      </w:r>
      <w:r w:rsidR="004427D0" w:rsidRPr="00217F0A">
        <w:rPr>
          <w:rFonts w:eastAsiaTheme="minorHAnsi"/>
          <w:sz w:val="24"/>
          <w:szCs w:val="24"/>
          <w:lang w:eastAsia="en-US"/>
        </w:rPr>
        <w:t xml:space="preserve"> </w:t>
      </w:r>
      <w:r w:rsidR="004427D0" w:rsidRPr="00217F0A">
        <w:rPr>
          <w:spacing w:val="3"/>
          <w:sz w:val="22"/>
          <w:szCs w:val="22"/>
        </w:rPr>
        <w:t>банк»)</w:t>
      </w:r>
      <w:r w:rsidR="004427D0">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4427D0">
        <w:rPr>
          <w:spacing w:val="3"/>
          <w:sz w:val="22"/>
          <w:szCs w:val="22"/>
        </w:rPr>
        <w:t>Форма проведения торгов – посредством публичного предложения.</w:t>
      </w:r>
    </w:p>
    <w:p w:rsidR="004427D0" w:rsidRDefault="004427D0" w:rsidP="004427D0">
      <w:pPr>
        <w:pStyle w:val="af3"/>
        <w:tabs>
          <w:tab w:val="left" w:pos="426"/>
        </w:tabs>
        <w:ind w:left="284"/>
        <w:jc w:val="both"/>
        <w:rPr>
          <w:spacing w:val="3"/>
          <w:sz w:val="22"/>
          <w:szCs w:val="22"/>
        </w:rPr>
      </w:pPr>
    </w:p>
    <w:p w:rsidR="004427D0" w:rsidRDefault="004427D0" w:rsidP="004427D0">
      <w:pPr>
        <w:pStyle w:val="af3"/>
        <w:tabs>
          <w:tab w:val="left" w:pos="426"/>
        </w:tabs>
        <w:ind w:left="284"/>
        <w:jc w:val="both"/>
        <w:rPr>
          <w:spacing w:val="3"/>
          <w:sz w:val="22"/>
          <w:szCs w:val="22"/>
        </w:rPr>
      </w:pPr>
      <w:r>
        <w:rPr>
          <w:spacing w:val="3"/>
          <w:sz w:val="22"/>
          <w:szCs w:val="22"/>
        </w:rPr>
        <w:t>Установить:</w:t>
      </w:r>
    </w:p>
    <w:p w:rsidR="004427D0" w:rsidRPr="001944C6" w:rsidRDefault="004427D0" w:rsidP="004427D0">
      <w:pPr>
        <w:tabs>
          <w:tab w:val="num" w:pos="720"/>
          <w:tab w:val="left" w:leader="underscore" w:pos="1134"/>
          <w:tab w:val="left" w:leader="underscore" w:pos="2835"/>
        </w:tabs>
        <w:ind w:firstLine="851"/>
        <w:jc w:val="both"/>
        <w:rPr>
          <w:b w:val="0"/>
          <w:spacing w:val="3"/>
          <w:sz w:val="22"/>
          <w:szCs w:val="22"/>
        </w:rPr>
      </w:pPr>
      <w:r w:rsidRPr="001944C6">
        <w:rPr>
          <w:b w:val="0"/>
          <w:noProof/>
          <w:spacing w:val="3"/>
          <w:sz w:val="22"/>
          <w:szCs w:val="22"/>
        </w:rPr>
        <w:t xml:space="preserve">– </w:t>
      </w:r>
      <w:r w:rsidRPr="00A9645C">
        <w:rPr>
          <w:b w:val="0"/>
          <w:noProof/>
          <w:spacing w:val="3"/>
          <w:sz w:val="22"/>
          <w:szCs w:val="22"/>
        </w:rPr>
        <w:t>количество</w:t>
      </w:r>
      <w:r w:rsidRPr="001944C6">
        <w:rPr>
          <w:b w:val="0"/>
          <w:noProof/>
          <w:spacing w:val="3"/>
          <w:sz w:val="22"/>
          <w:szCs w:val="22"/>
        </w:rPr>
        <w:t xml:space="preserve"> </w:t>
      </w:r>
      <w:r w:rsidRPr="00A9645C">
        <w:rPr>
          <w:b w:val="0"/>
          <w:noProof/>
          <w:spacing w:val="3"/>
          <w:sz w:val="22"/>
          <w:szCs w:val="22"/>
        </w:rPr>
        <w:t>периодов</w:t>
      </w:r>
      <w:r w:rsidRPr="001944C6">
        <w:rPr>
          <w:b w:val="0"/>
          <w:noProof/>
          <w:spacing w:val="3"/>
          <w:sz w:val="22"/>
          <w:szCs w:val="22"/>
        </w:rPr>
        <w:t xml:space="preserve"> </w:t>
      </w:r>
      <w:r w:rsidRPr="00A9645C">
        <w:rPr>
          <w:b w:val="0"/>
          <w:noProof/>
          <w:spacing w:val="3"/>
          <w:sz w:val="22"/>
          <w:szCs w:val="22"/>
        </w:rPr>
        <w:t>Торгов</w:t>
      </w:r>
      <w:r w:rsidRPr="001944C6">
        <w:rPr>
          <w:b w:val="0"/>
          <w:noProof/>
          <w:spacing w:val="3"/>
          <w:sz w:val="22"/>
          <w:szCs w:val="22"/>
        </w:rPr>
        <w:t xml:space="preserve"> </w:t>
      </w:r>
      <w:r w:rsidRPr="00A9645C">
        <w:rPr>
          <w:b w:val="0"/>
          <w:noProof/>
          <w:spacing w:val="3"/>
          <w:sz w:val="22"/>
          <w:szCs w:val="22"/>
        </w:rPr>
        <w:t>ППП</w:t>
      </w:r>
      <w:r w:rsidRPr="001944C6">
        <w:rPr>
          <w:b w:val="0"/>
          <w:noProof/>
          <w:spacing w:val="3"/>
          <w:sz w:val="22"/>
          <w:szCs w:val="22"/>
        </w:rPr>
        <w:t xml:space="preserve"> – </w:t>
      </w:r>
      <w:bookmarkStart w:id="0" w:name="_GoBack"/>
      <w:bookmarkEnd w:id="0"/>
    </w:p>
    <w:p w:rsidR="004427D0" w:rsidRDefault="004427D0" w:rsidP="004427D0">
      <w:pPr>
        <w:pStyle w:val="af3"/>
        <w:numPr>
          <w:ilvl w:val="0"/>
          <w:numId w:val="2"/>
        </w:numPr>
        <w:tabs>
          <w:tab w:val="num" w:pos="720"/>
          <w:tab w:val="left" w:leader="underscore" w:pos="1134"/>
          <w:tab w:val="left" w:leader="underscore" w:pos="2835"/>
        </w:tabs>
        <w:jc w:val="both"/>
        <w:rPr>
          <w:spacing w:val="3"/>
          <w:sz w:val="22"/>
          <w:szCs w:val="22"/>
        </w:rPr>
      </w:pPr>
      <w:r w:rsidRPr="00FD370F">
        <w:rPr>
          <w:noProof/>
          <w:spacing w:val="3"/>
          <w:sz w:val="22"/>
          <w:szCs w:val="22"/>
        </w:rPr>
        <w:t>1</w:t>
      </w:r>
      <w:r>
        <w:rPr>
          <w:noProof/>
          <w:spacing w:val="3"/>
          <w:sz w:val="22"/>
          <w:szCs w:val="22"/>
        </w:rPr>
        <w:t>1</w:t>
      </w:r>
      <w:r w:rsidRPr="00FD370F">
        <w:rPr>
          <w:noProof/>
          <w:spacing w:val="3"/>
          <w:sz w:val="22"/>
          <w:szCs w:val="22"/>
        </w:rPr>
        <w:t xml:space="preserve"> (</w:t>
      </w:r>
      <w:r>
        <w:rPr>
          <w:noProof/>
          <w:spacing w:val="3"/>
          <w:sz w:val="22"/>
          <w:szCs w:val="22"/>
        </w:rPr>
        <w:t>Одиннадцать</w:t>
      </w:r>
      <w:r w:rsidRPr="00FD370F">
        <w:rPr>
          <w:noProof/>
          <w:spacing w:val="3"/>
          <w:sz w:val="22"/>
          <w:szCs w:val="22"/>
        </w:rPr>
        <w:t>), продолжительность каждого из которых составляет не менее 7 (Семь)  календарных дней.</w:t>
      </w:r>
    </w:p>
    <w:p w:rsidR="004427D0" w:rsidRDefault="004427D0" w:rsidP="004427D0">
      <w:pPr>
        <w:tabs>
          <w:tab w:val="num" w:pos="720"/>
          <w:tab w:val="left" w:leader="underscore" w:pos="1134"/>
          <w:tab w:val="left" w:leader="underscore" w:pos="2835"/>
        </w:tabs>
        <w:ind w:left="851"/>
        <w:jc w:val="both"/>
        <w:rPr>
          <w:b w:val="0"/>
          <w:noProof/>
          <w:spacing w:val="3"/>
          <w:sz w:val="22"/>
          <w:szCs w:val="22"/>
        </w:rPr>
      </w:pPr>
      <w:r w:rsidRPr="004427D0">
        <w:rPr>
          <w:b w:val="0"/>
          <w:noProof/>
          <w:spacing w:val="3"/>
          <w:sz w:val="22"/>
          <w:szCs w:val="22"/>
        </w:rPr>
        <w:t>–</w:t>
      </w:r>
      <w:r w:rsidRPr="002D73A6">
        <w:rPr>
          <w:b w:val="0"/>
          <w:noProof/>
          <w:spacing w:val="3"/>
          <w:sz w:val="22"/>
          <w:szCs w:val="22"/>
        </w:rPr>
        <w:t xml:space="preserve"> величина снижения начальной цены продажи имущества должника – начиная со второго </w:t>
      </w:r>
      <w:r>
        <w:rPr>
          <w:b w:val="0"/>
          <w:noProof/>
          <w:spacing w:val="3"/>
          <w:sz w:val="22"/>
          <w:szCs w:val="22"/>
        </w:rPr>
        <w:t xml:space="preserve">по десятый </w:t>
      </w:r>
      <w:r w:rsidRPr="002D73A6">
        <w:rPr>
          <w:b w:val="0"/>
          <w:noProof/>
          <w:spacing w:val="3"/>
          <w:sz w:val="22"/>
          <w:szCs w:val="22"/>
        </w:rPr>
        <w:t>период Торгов ППП, в размере 10.55 (Десять целых пятьдесят пять сотых) процента от начальной цены лота на первом периоде Торгов ППП;</w:t>
      </w:r>
      <w:r w:rsidRPr="002D73A6">
        <w:rPr>
          <w:b w:val="0"/>
          <w:spacing w:val="3"/>
          <w:sz w:val="22"/>
          <w:szCs w:val="22"/>
        </w:rPr>
        <w:t xml:space="preserve"> </w:t>
      </w:r>
      <w:r>
        <w:rPr>
          <w:b w:val="0"/>
          <w:spacing w:val="3"/>
          <w:sz w:val="22"/>
          <w:szCs w:val="22"/>
        </w:rPr>
        <w:t xml:space="preserve">на одиннадцатом периоде торгов ППП в размере 4,3 (Четыре целых три десятых) процента </w:t>
      </w:r>
      <w:r w:rsidRPr="002D73A6">
        <w:rPr>
          <w:b w:val="0"/>
          <w:noProof/>
          <w:spacing w:val="3"/>
          <w:sz w:val="22"/>
          <w:szCs w:val="22"/>
        </w:rPr>
        <w:t>от начальной цены лота на первом периоде Торгов ППП</w:t>
      </w:r>
    </w:p>
    <w:p w:rsidR="004427D0" w:rsidRPr="002D73A6" w:rsidRDefault="004427D0" w:rsidP="004427D0">
      <w:pPr>
        <w:tabs>
          <w:tab w:val="num" w:pos="720"/>
          <w:tab w:val="left" w:leader="underscore" w:pos="1134"/>
          <w:tab w:val="left" w:leader="underscore" w:pos="2835"/>
        </w:tabs>
        <w:ind w:left="851"/>
        <w:jc w:val="both"/>
        <w:rPr>
          <w:b w:val="0"/>
          <w:spacing w:val="3"/>
          <w:sz w:val="22"/>
          <w:szCs w:val="22"/>
        </w:rPr>
      </w:pPr>
    </w:p>
    <w:p w:rsidR="004427D0" w:rsidRPr="004427D0" w:rsidRDefault="004427D0" w:rsidP="004427D0">
      <w:pPr>
        <w:shd w:val="clear" w:color="auto" w:fill="FFFFFF"/>
        <w:spacing w:line="278" w:lineRule="exact"/>
        <w:jc w:val="center"/>
        <w:rPr>
          <w:bCs w:val="0"/>
          <w:sz w:val="22"/>
          <w:szCs w:val="22"/>
        </w:rPr>
      </w:pPr>
      <w:r w:rsidRPr="004427D0">
        <w:rPr>
          <w:bCs w:val="0"/>
          <w:sz w:val="22"/>
          <w:szCs w:val="22"/>
        </w:rPr>
        <w:t>Расчет сроков проведения Торгов</w:t>
      </w:r>
    </w:p>
    <w:p w:rsidR="004427D0" w:rsidRPr="004427D0" w:rsidRDefault="004427D0" w:rsidP="004427D0">
      <w:pPr>
        <w:pStyle w:val="af3"/>
        <w:tabs>
          <w:tab w:val="left" w:pos="426"/>
        </w:tabs>
        <w:ind w:left="284"/>
        <w:jc w:val="both"/>
        <w:rPr>
          <w:spacing w:val="3"/>
          <w:sz w:val="22"/>
          <w:szCs w:val="22"/>
        </w:rPr>
      </w:pPr>
    </w:p>
    <w:tbl>
      <w:tblPr>
        <w:tblW w:w="6266"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5240"/>
        <w:gridCol w:w="1116"/>
      </w:tblGrid>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Публикация на</w:t>
            </w:r>
          </w:p>
        </w:tc>
        <w:tc>
          <w:tcPr>
            <w:tcW w:w="1026" w:type="dxa"/>
            <w:shd w:val="clear" w:color="000000" w:fill="B1A0C7"/>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13.03.2021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color w:val="000000"/>
                <w:kern w:val="0"/>
                <w:lang w:eastAsia="ru-RU"/>
              </w:rPr>
            </w:pPr>
            <w:r w:rsidRPr="004427D0">
              <w:rPr>
                <w:color w:val="000000"/>
                <w:kern w:val="0"/>
                <w:lang w:eastAsia="ru-RU"/>
              </w:rPr>
              <w:t>ППП</w:t>
            </w:r>
          </w:p>
        </w:tc>
        <w:tc>
          <w:tcPr>
            <w:tcW w:w="1026" w:type="dxa"/>
            <w:shd w:val="clear" w:color="auto" w:fill="auto"/>
            <w:noWrap/>
            <w:vAlign w:val="bottom"/>
            <w:hideMark/>
          </w:tcPr>
          <w:p w:rsidR="004427D0" w:rsidRPr="004427D0" w:rsidRDefault="004427D0" w:rsidP="004427D0">
            <w:pPr>
              <w:suppressAutoHyphens w:val="0"/>
              <w:rPr>
                <w:color w:val="000000"/>
                <w:kern w:val="0"/>
                <w:lang w:eastAsia="ru-RU"/>
              </w:rPr>
            </w:pP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начала приема заявок/дата начала 1-го периода ППП</w:t>
            </w:r>
          </w:p>
        </w:tc>
        <w:tc>
          <w:tcPr>
            <w:tcW w:w="1026" w:type="dxa"/>
            <w:shd w:val="clear" w:color="000000" w:fill="FFFFFF"/>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16.03.2021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окончания 1-го периода ППП</w:t>
            </w:r>
          </w:p>
        </w:tc>
        <w:tc>
          <w:tcPr>
            <w:tcW w:w="1026" w:type="dxa"/>
            <w:shd w:val="clear" w:color="000000" w:fill="FDE9D9"/>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26.04.2021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начала 2-го периода ППП</w:t>
            </w:r>
          </w:p>
        </w:tc>
        <w:tc>
          <w:tcPr>
            <w:tcW w:w="1026" w:type="dxa"/>
            <w:shd w:val="clear" w:color="000000" w:fill="FFFFFF"/>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27.04.2021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окончания 2-го периода ППП</w:t>
            </w:r>
          </w:p>
        </w:tc>
        <w:tc>
          <w:tcPr>
            <w:tcW w:w="1026" w:type="dxa"/>
            <w:shd w:val="clear" w:color="000000" w:fill="FDE9D9"/>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03.05.2021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начала 3-го периода ППП</w:t>
            </w:r>
          </w:p>
        </w:tc>
        <w:tc>
          <w:tcPr>
            <w:tcW w:w="1026" w:type="dxa"/>
            <w:shd w:val="clear" w:color="000000" w:fill="FFFFFF"/>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04.05.2021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окончания 3-го периода ППП</w:t>
            </w:r>
          </w:p>
        </w:tc>
        <w:tc>
          <w:tcPr>
            <w:tcW w:w="1026" w:type="dxa"/>
            <w:shd w:val="clear" w:color="000000" w:fill="FDE9D9"/>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10.05.2021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начала 4-го периода ППП</w:t>
            </w:r>
          </w:p>
        </w:tc>
        <w:tc>
          <w:tcPr>
            <w:tcW w:w="1026" w:type="dxa"/>
            <w:shd w:val="clear" w:color="000000" w:fill="FFFFFF"/>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11.05.2021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окончания 4-го периода ППП</w:t>
            </w:r>
          </w:p>
        </w:tc>
        <w:tc>
          <w:tcPr>
            <w:tcW w:w="1026" w:type="dxa"/>
            <w:shd w:val="clear" w:color="000000" w:fill="FDE9D9"/>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18.05.2021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начала 5-го периода ППП</w:t>
            </w:r>
          </w:p>
        </w:tc>
        <w:tc>
          <w:tcPr>
            <w:tcW w:w="1026" w:type="dxa"/>
            <w:shd w:val="clear" w:color="000000" w:fill="FFFFFF"/>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19.05.2021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окончания 5-го периода ППП</w:t>
            </w:r>
          </w:p>
        </w:tc>
        <w:tc>
          <w:tcPr>
            <w:tcW w:w="1026" w:type="dxa"/>
            <w:shd w:val="clear" w:color="000000" w:fill="FDE9D9"/>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25.05.2021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начала 6-го периода ППП</w:t>
            </w:r>
          </w:p>
        </w:tc>
        <w:tc>
          <w:tcPr>
            <w:tcW w:w="1026" w:type="dxa"/>
            <w:shd w:val="clear" w:color="000000" w:fill="FFFFFF"/>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26.05.2021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окончания 6-го периода ППП</w:t>
            </w:r>
          </w:p>
        </w:tc>
        <w:tc>
          <w:tcPr>
            <w:tcW w:w="1026" w:type="dxa"/>
            <w:shd w:val="clear" w:color="000000" w:fill="FDE9D9"/>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01.06.2021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начала 7-го периода ППП</w:t>
            </w:r>
          </w:p>
        </w:tc>
        <w:tc>
          <w:tcPr>
            <w:tcW w:w="1026" w:type="dxa"/>
            <w:shd w:val="clear" w:color="000000" w:fill="FFFFFF"/>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02.06.2021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окончания 7-го периода ППП</w:t>
            </w:r>
          </w:p>
        </w:tc>
        <w:tc>
          <w:tcPr>
            <w:tcW w:w="1026" w:type="dxa"/>
            <w:shd w:val="clear" w:color="000000" w:fill="FDE9D9"/>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08.06.2021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начала 8-го периода ППП</w:t>
            </w:r>
          </w:p>
        </w:tc>
        <w:tc>
          <w:tcPr>
            <w:tcW w:w="1026" w:type="dxa"/>
            <w:shd w:val="clear" w:color="000000" w:fill="FFFFFF"/>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09.06.2021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окончания 8-го периода ППП</w:t>
            </w:r>
          </w:p>
        </w:tc>
        <w:tc>
          <w:tcPr>
            <w:tcW w:w="1026" w:type="dxa"/>
            <w:shd w:val="clear" w:color="000000" w:fill="FDE9D9"/>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15.06.2021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начала 9-го периода ППП</w:t>
            </w:r>
          </w:p>
        </w:tc>
        <w:tc>
          <w:tcPr>
            <w:tcW w:w="1026" w:type="dxa"/>
            <w:shd w:val="clear" w:color="000000" w:fill="FFFFFF"/>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16.06.2021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окончания 9-го периода ППП</w:t>
            </w:r>
          </w:p>
        </w:tc>
        <w:tc>
          <w:tcPr>
            <w:tcW w:w="1026" w:type="dxa"/>
            <w:shd w:val="clear" w:color="000000" w:fill="FDE9D9"/>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22.06.2021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начала 10-го периода ППП</w:t>
            </w:r>
          </w:p>
        </w:tc>
        <w:tc>
          <w:tcPr>
            <w:tcW w:w="1026" w:type="dxa"/>
            <w:shd w:val="clear" w:color="000000" w:fill="FFFFFF"/>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23.06.2021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окончания 10-го периода ППП</w:t>
            </w:r>
          </w:p>
        </w:tc>
        <w:tc>
          <w:tcPr>
            <w:tcW w:w="1026" w:type="dxa"/>
            <w:shd w:val="clear" w:color="000000" w:fill="FDE9D9"/>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29.06.2021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начала 11-го периода ППП</w:t>
            </w:r>
          </w:p>
        </w:tc>
        <w:tc>
          <w:tcPr>
            <w:tcW w:w="1026" w:type="dxa"/>
            <w:shd w:val="clear" w:color="000000" w:fill="FFFFFF"/>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30.06.2021</w:t>
            </w:r>
          </w:p>
        </w:tc>
      </w:tr>
      <w:tr w:rsidR="004427D0" w:rsidRPr="004427D0" w:rsidTr="004427D0">
        <w:trPr>
          <w:trHeight w:val="227"/>
          <w:jc w:val="center"/>
        </w:trPr>
        <w:tc>
          <w:tcPr>
            <w:tcW w:w="5240" w:type="dxa"/>
            <w:shd w:val="clear" w:color="auto" w:fill="auto"/>
            <w:noWrap/>
            <w:vAlign w:val="bottom"/>
            <w:hideMark/>
          </w:tcPr>
          <w:p w:rsidR="004427D0" w:rsidRPr="004427D0" w:rsidRDefault="004427D0" w:rsidP="004427D0">
            <w:pPr>
              <w:suppressAutoHyphens w:val="0"/>
              <w:rPr>
                <w:b w:val="0"/>
                <w:bCs w:val="0"/>
                <w:color w:val="000000"/>
                <w:kern w:val="0"/>
                <w:lang w:eastAsia="ru-RU"/>
              </w:rPr>
            </w:pPr>
            <w:r w:rsidRPr="004427D0">
              <w:rPr>
                <w:b w:val="0"/>
                <w:bCs w:val="0"/>
                <w:color w:val="000000"/>
                <w:kern w:val="0"/>
                <w:lang w:eastAsia="ru-RU"/>
              </w:rPr>
              <w:t>Дата окончания 11-го периода ППП</w:t>
            </w:r>
          </w:p>
        </w:tc>
        <w:tc>
          <w:tcPr>
            <w:tcW w:w="1026" w:type="dxa"/>
            <w:shd w:val="clear" w:color="000000" w:fill="FDE9D9"/>
            <w:noWrap/>
            <w:vAlign w:val="center"/>
            <w:hideMark/>
          </w:tcPr>
          <w:p w:rsidR="004427D0" w:rsidRPr="004427D0" w:rsidRDefault="004427D0" w:rsidP="004427D0">
            <w:pPr>
              <w:suppressAutoHyphens w:val="0"/>
              <w:jc w:val="center"/>
              <w:rPr>
                <w:b w:val="0"/>
                <w:bCs w:val="0"/>
                <w:kern w:val="0"/>
                <w:lang w:eastAsia="ru-RU"/>
              </w:rPr>
            </w:pPr>
            <w:r w:rsidRPr="004427D0">
              <w:rPr>
                <w:b w:val="0"/>
                <w:bCs w:val="0"/>
                <w:kern w:val="0"/>
                <w:lang w:eastAsia="ru-RU"/>
              </w:rPr>
              <w:t>06.07.2021</w:t>
            </w:r>
          </w:p>
        </w:tc>
      </w:tr>
    </w:tbl>
    <w:p w:rsidR="008751AE" w:rsidRPr="008751AE" w:rsidRDefault="008751AE" w:rsidP="008751AE">
      <w:pPr>
        <w:tabs>
          <w:tab w:val="num" w:pos="0"/>
          <w:tab w:val="left" w:pos="426"/>
        </w:tabs>
        <w:jc w:val="both"/>
        <w:rPr>
          <w:spacing w:val="3"/>
          <w:sz w:val="22"/>
          <w:szCs w:val="22"/>
        </w:rPr>
      </w:pPr>
    </w:p>
    <w:p w:rsidR="00A31667" w:rsidRPr="00B40BCD" w:rsidRDefault="00A31667" w:rsidP="00747411">
      <w:pPr>
        <w:tabs>
          <w:tab w:val="left" w:pos="1134"/>
        </w:tabs>
        <w:jc w:val="both"/>
        <w:rPr>
          <w:spacing w:val="3"/>
          <w:sz w:val="22"/>
          <w:szCs w:val="22"/>
        </w:rPr>
      </w:pPr>
    </w:p>
    <w:p w:rsidR="00EC366A" w:rsidRPr="00B40BCD" w:rsidRDefault="00EC366A" w:rsidP="003E2968">
      <w:pPr>
        <w:tabs>
          <w:tab w:val="left" w:leader="underscore" w:pos="2835"/>
        </w:tabs>
        <w:ind w:firstLine="884"/>
        <w:jc w:val="both"/>
        <w:rPr>
          <w:b w:val="0"/>
          <w:spacing w:val="3"/>
          <w:sz w:val="22"/>
          <w:szCs w:val="22"/>
        </w:rPr>
      </w:pPr>
    </w:p>
    <w:p w:rsidR="008510E5"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8510E5">
        <w:rPr>
          <w:b w:val="0"/>
          <w:spacing w:val="3"/>
          <w:sz w:val="22"/>
          <w:szCs w:val="22"/>
        </w:rPr>
        <w:t xml:space="preserve"> </w:t>
      </w:r>
      <w:r w:rsidR="009F0613">
        <w:rPr>
          <w:b w:val="0"/>
          <w:spacing w:val="3"/>
          <w:sz w:val="22"/>
          <w:szCs w:val="22"/>
        </w:rPr>
        <w:t>р</w:t>
      </w:r>
      <w:r w:rsidRPr="00B40BCD">
        <w:rPr>
          <w:b w:val="0"/>
          <w:spacing w:val="3"/>
          <w:sz w:val="22"/>
          <w:szCs w:val="22"/>
        </w:rPr>
        <w:t>еализации активов</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4427D0">
        <w:rPr>
          <w:b w:val="0"/>
          <w:spacing w:val="3"/>
          <w:sz w:val="22"/>
          <w:szCs w:val="22"/>
        </w:rPr>
        <w:t>И.В. Черняков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4427D0">
      <w:rPr>
        <w:b w:val="0"/>
        <w:sz w:val="16"/>
        <w:szCs w:val="16"/>
      </w:rPr>
      <w:t>Клименова А.С.</w:t>
    </w:r>
  </w:p>
  <w:p w:rsidR="00C61C5E" w:rsidRPr="00571353" w:rsidRDefault="00FB59D2" w:rsidP="00C61C5E">
    <w:pPr>
      <w:rPr>
        <w:b w:val="0"/>
        <w:sz w:val="16"/>
        <w:szCs w:val="16"/>
      </w:rPr>
    </w:pPr>
    <w:r>
      <w:rPr>
        <w:b w:val="0"/>
        <w:sz w:val="16"/>
        <w:szCs w:val="16"/>
      </w:rPr>
      <w:t>Тел.: +7 (495) 725-31-27, доб.:</w:t>
    </w:r>
    <w:r w:rsidR="008510E5">
      <w:rPr>
        <w:b w:val="0"/>
        <w:sz w:val="16"/>
        <w:szCs w:val="16"/>
      </w:rPr>
      <w:t xml:space="preserve"> 35-5</w:t>
    </w:r>
    <w:r w:rsidR="004427D0">
      <w:rPr>
        <w:b w:val="0"/>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649A4147"/>
    <w:multiLevelType w:val="hybridMultilevel"/>
    <w:tmpl w:val="856AD96E"/>
    <w:lvl w:ilvl="0" w:tplc="1A4E79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44C6"/>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2644"/>
    <w:rsid w:val="00315E21"/>
    <w:rsid w:val="00320CA9"/>
    <w:rsid w:val="00320DB2"/>
    <w:rsid w:val="003259C7"/>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21B93"/>
    <w:rsid w:val="004226AA"/>
    <w:rsid w:val="00424001"/>
    <w:rsid w:val="00424EC4"/>
    <w:rsid w:val="00431A18"/>
    <w:rsid w:val="004323DF"/>
    <w:rsid w:val="0043260E"/>
    <w:rsid w:val="0043581F"/>
    <w:rsid w:val="00441857"/>
    <w:rsid w:val="004427D0"/>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0E5"/>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64D4"/>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2DF6"/>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269696626">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7B9F8-B076-4FB6-961B-DEC07076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2289</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Клименова Анна Сергеевна</cp:lastModifiedBy>
  <cp:revision>9</cp:revision>
  <cp:lastPrinted>2019-01-28T11:39:00Z</cp:lastPrinted>
  <dcterms:created xsi:type="dcterms:W3CDTF">2019-01-28T11:38:00Z</dcterms:created>
  <dcterms:modified xsi:type="dcterms:W3CDTF">2021-06-15T07:53:00Z</dcterms:modified>
</cp:coreProperties>
</file>