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142A1" w14:textId="77777777" w:rsidR="00503CF3" w:rsidRDefault="00503CF3">
      <w:pPr>
        <w:pStyle w:val="ConsPlusNormal0"/>
        <w:widowControl/>
        <w:ind w:firstLine="0"/>
        <w:jc w:val="both"/>
      </w:pPr>
    </w:p>
    <w:p w14:paraId="07E60EDB" w14:textId="77777777" w:rsidR="00503CF3" w:rsidRDefault="005005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ДОГОВОР О ЗАДАТКЕ №____/___-___</w:t>
      </w:r>
    </w:p>
    <w:p w14:paraId="1FD49E69" w14:textId="77777777" w:rsidR="00503CF3" w:rsidRDefault="00503CF3">
      <w:pPr>
        <w:pStyle w:val="ConsPlusTitle"/>
        <w:widowControl/>
        <w:jc w:val="center"/>
        <w:rPr>
          <w:rFonts w:ascii="Times New Roman" w:hAnsi="Times New Roman" w:cs="Times New Roman"/>
          <w:sz w:val="24"/>
          <w:szCs w:val="24"/>
        </w:rPr>
      </w:pPr>
    </w:p>
    <w:p w14:paraId="3ACDD41F" w14:textId="7D09D778" w:rsidR="00503CF3" w:rsidRDefault="00A051D0">
      <w:pPr>
        <w:pStyle w:val="ConsPlusNonformat"/>
        <w:widowControl/>
      </w:pPr>
      <w:proofErr w:type="spellStart"/>
      <w:r>
        <w:rPr>
          <w:rFonts w:ascii="Times New Roman" w:hAnsi="Times New Roman" w:cs="Times New Roman"/>
          <w:sz w:val="24"/>
          <w:szCs w:val="24"/>
        </w:rPr>
        <w:t>г.Самара</w:t>
      </w:r>
      <w:proofErr w:type="spellEnd"/>
      <w:r w:rsidR="005005E3">
        <w:rPr>
          <w:rFonts w:ascii="Times New Roman" w:hAnsi="Times New Roman" w:cs="Times New Roman"/>
          <w:sz w:val="24"/>
          <w:szCs w:val="24"/>
        </w:rPr>
        <w:tab/>
      </w:r>
      <w:r w:rsidR="005005E3">
        <w:rPr>
          <w:rFonts w:ascii="Times New Roman" w:hAnsi="Times New Roman" w:cs="Times New Roman"/>
          <w:sz w:val="24"/>
          <w:szCs w:val="24"/>
        </w:rPr>
        <w:tab/>
      </w:r>
      <w:r w:rsidR="005005E3">
        <w:rPr>
          <w:rFonts w:ascii="Times New Roman" w:hAnsi="Times New Roman" w:cs="Times New Roman"/>
          <w:sz w:val="24"/>
          <w:szCs w:val="24"/>
        </w:rPr>
        <w:tab/>
      </w:r>
      <w:r w:rsidR="005005E3">
        <w:rPr>
          <w:rFonts w:ascii="Times New Roman" w:hAnsi="Times New Roman" w:cs="Times New Roman"/>
          <w:sz w:val="24"/>
          <w:szCs w:val="24"/>
        </w:rPr>
        <w:tab/>
      </w:r>
      <w:r w:rsidR="005005E3">
        <w:rPr>
          <w:rFonts w:ascii="Times New Roman" w:hAnsi="Times New Roman" w:cs="Times New Roman"/>
          <w:sz w:val="24"/>
          <w:szCs w:val="24"/>
        </w:rPr>
        <w:tab/>
        <w:t xml:space="preserve">              </w:t>
      </w:r>
      <w:r>
        <w:rPr>
          <w:rFonts w:ascii="Times New Roman" w:hAnsi="Times New Roman" w:cs="Times New Roman"/>
          <w:sz w:val="24"/>
          <w:szCs w:val="24"/>
        </w:rPr>
        <w:tab/>
      </w:r>
      <w:proofErr w:type="gramStart"/>
      <w:r w:rsidR="005005E3">
        <w:rPr>
          <w:rFonts w:ascii="Times New Roman" w:hAnsi="Times New Roman" w:cs="Times New Roman"/>
          <w:sz w:val="24"/>
          <w:szCs w:val="24"/>
        </w:rPr>
        <w:t xml:space="preserve">   «</w:t>
      </w:r>
      <w:proofErr w:type="gramEnd"/>
      <w:r w:rsidR="005005E3">
        <w:rPr>
          <w:rFonts w:ascii="Times New Roman" w:hAnsi="Times New Roman" w:cs="Times New Roman"/>
          <w:sz w:val="24"/>
          <w:szCs w:val="24"/>
        </w:rPr>
        <w:t>__» ____________ 20</w:t>
      </w:r>
      <w:r>
        <w:rPr>
          <w:rFonts w:ascii="Times New Roman" w:hAnsi="Times New Roman" w:cs="Times New Roman"/>
          <w:sz w:val="24"/>
          <w:szCs w:val="24"/>
        </w:rPr>
        <w:t>21</w:t>
      </w:r>
      <w:r w:rsidR="005005E3">
        <w:rPr>
          <w:rFonts w:ascii="Times New Roman" w:hAnsi="Times New Roman" w:cs="Times New Roman"/>
          <w:sz w:val="24"/>
          <w:szCs w:val="24"/>
        </w:rPr>
        <w:t xml:space="preserve"> года</w:t>
      </w:r>
    </w:p>
    <w:p w14:paraId="054F8906" w14:textId="77777777" w:rsidR="00503CF3" w:rsidRDefault="00503CF3">
      <w:pPr>
        <w:pStyle w:val="ConsPlusNormal0"/>
        <w:widowControl/>
        <w:ind w:firstLine="0"/>
        <w:jc w:val="both"/>
        <w:rPr>
          <w:rFonts w:ascii="Times New Roman" w:hAnsi="Times New Roman" w:cs="Times New Roman"/>
          <w:sz w:val="24"/>
          <w:szCs w:val="24"/>
        </w:rPr>
      </w:pPr>
    </w:p>
    <w:p w14:paraId="0F2D5BA7" w14:textId="75204B76" w:rsidR="00503CF3" w:rsidRDefault="00A051D0">
      <w:pPr>
        <w:pStyle w:val="ConsPlusNormal0"/>
        <w:widowControl/>
        <w:ind w:firstLine="540"/>
        <w:jc w:val="both"/>
      </w:pPr>
      <w:r w:rsidRPr="4977A0C5">
        <w:rPr>
          <w:rFonts w:ascii="Times New Roman" w:eastAsia="Calibri" w:hAnsi="Times New Roman" w:cs="Times New Roman"/>
          <w:b/>
          <w:bCs/>
          <w:sz w:val="24"/>
          <w:szCs w:val="24"/>
        </w:rPr>
        <w:t xml:space="preserve">Акционерное общество «Волжский научно-исследовательский и </w:t>
      </w:r>
      <w:proofErr w:type="spellStart"/>
      <w:r w:rsidRPr="4977A0C5">
        <w:rPr>
          <w:rFonts w:ascii="Times New Roman" w:eastAsia="Calibri" w:hAnsi="Times New Roman" w:cs="Times New Roman"/>
          <w:b/>
          <w:bCs/>
          <w:sz w:val="24"/>
          <w:szCs w:val="24"/>
        </w:rPr>
        <w:t>проектно</w:t>
      </w:r>
      <w:proofErr w:type="spellEnd"/>
      <w:r w:rsidRPr="4977A0C5">
        <w:rPr>
          <w:rFonts w:ascii="Times New Roman" w:eastAsia="Calibri" w:hAnsi="Times New Roman" w:cs="Times New Roman"/>
          <w:b/>
          <w:bCs/>
          <w:sz w:val="24"/>
          <w:szCs w:val="24"/>
        </w:rPr>
        <w:t xml:space="preserve"> изыскательский институт по землеустройству» (АО «</w:t>
      </w:r>
      <w:proofErr w:type="spellStart"/>
      <w:r w:rsidRPr="4977A0C5">
        <w:rPr>
          <w:rFonts w:ascii="Times New Roman" w:eastAsia="Calibri" w:hAnsi="Times New Roman" w:cs="Times New Roman"/>
          <w:b/>
          <w:bCs/>
          <w:sz w:val="24"/>
          <w:szCs w:val="24"/>
        </w:rPr>
        <w:t>ВолгоНИИгипрозем</w:t>
      </w:r>
      <w:proofErr w:type="spellEnd"/>
      <w:r>
        <w:rPr>
          <w:rFonts w:ascii="Times New Roman" w:eastAsia="Calibri" w:hAnsi="Times New Roman" w:cs="Times New Roman"/>
          <w:b/>
          <w:bCs/>
          <w:sz w:val="24"/>
          <w:szCs w:val="24"/>
        </w:rPr>
        <w:t>»</w:t>
      </w:r>
      <w:r w:rsidRPr="4977A0C5">
        <w:rPr>
          <w:rFonts w:ascii="Times New Roman" w:eastAsia="Calibri" w:hAnsi="Times New Roman" w:cs="Times New Roman"/>
          <w:b/>
          <w:bCs/>
          <w:sz w:val="24"/>
          <w:szCs w:val="24"/>
        </w:rPr>
        <w:t>)</w:t>
      </w:r>
      <w:r w:rsidRPr="4977A0C5">
        <w:rPr>
          <w:rFonts w:ascii="Times New Roman" w:eastAsia="Calibri" w:hAnsi="Times New Roman" w:cs="Times New Roman"/>
          <w:sz w:val="24"/>
          <w:szCs w:val="24"/>
        </w:rPr>
        <w:t xml:space="preserve">, именуемое в дальнейшем </w:t>
      </w:r>
      <w:r w:rsidRPr="4977A0C5">
        <w:rPr>
          <w:rFonts w:ascii="Times New Roman" w:eastAsia="Calibri" w:hAnsi="Times New Roman" w:cs="Times New Roman"/>
          <w:b/>
          <w:bCs/>
          <w:sz w:val="24"/>
          <w:szCs w:val="24"/>
        </w:rPr>
        <w:t>«Продавец»</w:t>
      </w:r>
      <w:r w:rsidRPr="4977A0C5">
        <w:rPr>
          <w:rFonts w:ascii="Times New Roman" w:eastAsia="Calibri" w:hAnsi="Times New Roman" w:cs="Times New Roman"/>
          <w:sz w:val="24"/>
          <w:szCs w:val="24"/>
        </w:rPr>
        <w:t xml:space="preserve">, в лице </w:t>
      </w:r>
      <w:r>
        <w:rPr>
          <w:rFonts w:ascii="Times New Roman" w:eastAsia="Calibri" w:hAnsi="Times New Roman" w:cs="Times New Roman"/>
          <w:sz w:val="24"/>
          <w:szCs w:val="24"/>
        </w:rPr>
        <w:t>ликвидатора Ахматова Дмитрия Александровича</w:t>
      </w:r>
      <w:r w:rsidRPr="4977A0C5">
        <w:rPr>
          <w:rFonts w:ascii="Times New Roman" w:eastAsia="Calibri" w:hAnsi="Times New Roman" w:cs="Times New Roman"/>
          <w:sz w:val="24"/>
          <w:szCs w:val="24"/>
        </w:rPr>
        <w:t xml:space="preserve">, действующего на основании </w:t>
      </w:r>
      <w:r>
        <w:rPr>
          <w:rFonts w:ascii="Times New Roman" w:eastAsia="Calibri" w:hAnsi="Times New Roman" w:cs="Times New Roman"/>
          <w:sz w:val="24"/>
          <w:szCs w:val="24"/>
        </w:rPr>
        <w:t>Решения единственного акционера №1/21 от 03.02.2021 г.</w:t>
      </w:r>
      <w:r w:rsidRPr="4977A0C5">
        <w:rPr>
          <w:rFonts w:ascii="Times New Roman" w:eastAsia="Calibri" w:hAnsi="Times New Roman" w:cs="Times New Roman"/>
          <w:sz w:val="24"/>
          <w:szCs w:val="24"/>
        </w:rPr>
        <w:t xml:space="preserve">, с одной стороны, и </w:t>
      </w:r>
      <w:r>
        <w:rPr>
          <w:rFonts w:ascii="Times New Roman" w:eastAsia="Calibri" w:hAnsi="Times New Roman" w:cs="Times New Roman"/>
          <w:sz w:val="24"/>
          <w:szCs w:val="24"/>
        </w:rPr>
        <w:t>_____</w:t>
      </w:r>
      <w:r>
        <w:rPr>
          <w:rFonts w:ascii="Times New Roman" w:eastAsia="Calibri" w:hAnsi="Times New Roman" w:cs="Times New Roman"/>
          <w:b/>
          <w:sz w:val="24"/>
          <w:szCs w:val="24"/>
        </w:rPr>
        <w:t>__</w:t>
      </w:r>
      <w:r w:rsidRPr="00A92D14">
        <w:rPr>
          <w:rFonts w:ascii="Times New Roman" w:eastAsia="Calibri" w:hAnsi="Times New Roman" w:cs="Times New Roman"/>
          <w:b/>
          <w:sz w:val="24"/>
          <w:szCs w:val="24"/>
        </w:rPr>
        <w:t>___________________________</w:t>
      </w:r>
      <w:r w:rsidRPr="00A92D14">
        <w:rPr>
          <w:rFonts w:ascii="Times New Roman" w:eastAsia="Calibri" w:hAnsi="Times New Roman" w:cs="Times New Roman"/>
          <w:sz w:val="24"/>
          <w:szCs w:val="24"/>
        </w:rPr>
        <w:t>,</w:t>
      </w:r>
      <w:r w:rsidRPr="00A92D14">
        <w:rPr>
          <w:rFonts w:ascii="Times New Roman" w:eastAsia="Calibri" w:hAnsi="Times New Roman" w:cs="Times New Roman"/>
          <w:b/>
          <w:sz w:val="24"/>
          <w:szCs w:val="24"/>
        </w:rPr>
        <w:t xml:space="preserve"> </w:t>
      </w:r>
      <w:r w:rsidRPr="00A92D14">
        <w:rPr>
          <w:rFonts w:ascii="Times New Roman" w:eastAsia="Calibri" w:hAnsi="Times New Roman" w:cs="Times New Roman"/>
          <w:sz w:val="24"/>
          <w:szCs w:val="24"/>
        </w:rPr>
        <w:t>именуе</w:t>
      </w:r>
      <w:r>
        <w:rPr>
          <w:rFonts w:ascii="Times New Roman" w:eastAsia="Calibri" w:hAnsi="Times New Roman" w:cs="Times New Roman"/>
          <w:sz w:val="24"/>
          <w:szCs w:val="24"/>
        </w:rPr>
        <w:t>мый</w:t>
      </w:r>
      <w:r w:rsidRPr="00A92D14">
        <w:rPr>
          <w:rFonts w:ascii="Times New Roman" w:eastAsia="Calibri" w:hAnsi="Times New Roman" w:cs="Times New Roman"/>
          <w:sz w:val="24"/>
          <w:szCs w:val="24"/>
        </w:rPr>
        <w:t xml:space="preserve"> в дальнейшем </w:t>
      </w:r>
      <w:r w:rsidRPr="00D73A08">
        <w:rPr>
          <w:rFonts w:ascii="Times New Roman" w:eastAsia="Calibri" w:hAnsi="Times New Roman" w:cs="Times New Roman"/>
          <w:b/>
          <w:sz w:val="24"/>
          <w:szCs w:val="24"/>
        </w:rPr>
        <w:t>«П</w:t>
      </w:r>
      <w:r>
        <w:rPr>
          <w:rFonts w:ascii="Times New Roman" w:eastAsia="Calibri" w:hAnsi="Times New Roman" w:cs="Times New Roman"/>
          <w:b/>
          <w:sz w:val="24"/>
          <w:szCs w:val="24"/>
        </w:rPr>
        <w:t>ретендент</w:t>
      </w:r>
      <w:r w:rsidRPr="00D73A08">
        <w:rPr>
          <w:rFonts w:ascii="Times New Roman" w:eastAsia="Calibri" w:hAnsi="Times New Roman" w:cs="Times New Roman"/>
          <w:b/>
          <w:sz w:val="24"/>
          <w:szCs w:val="24"/>
        </w:rPr>
        <w:t>»</w:t>
      </w:r>
      <w:r w:rsidR="00217E96">
        <w:rPr>
          <w:rFonts w:ascii="Times New Roman" w:eastAsia="Calibri" w:hAnsi="Times New Roman" w:cs="Times New Roman"/>
          <w:b/>
          <w:sz w:val="24"/>
          <w:szCs w:val="24"/>
        </w:rPr>
        <w:t xml:space="preserve"> или «Организатор»</w:t>
      </w:r>
      <w:r w:rsidRPr="00A92D14">
        <w:rPr>
          <w:rFonts w:ascii="Times New Roman" w:eastAsia="Calibri" w:hAnsi="Times New Roman" w:cs="Times New Roman"/>
          <w:sz w:val="24"/>
          <w:szCs w:val="24"/>
        </w:rPr>
        <w:t>, в лице _______________________, действующего на основании _________ с другой стороны</w:t>
      </w:r>
      <w:r>
        <w:rPr>
          <w:rFonts w:ascii="Times New Roman" w:eastAsia="Calibri" w:hAnsi="Times New Roman" w:cs="Times New Roman"/>
          <w:sz w:val="24"/>
          <w:szCs w:val="24"/>
        </w:rPr>
        <w:t>,</w:t>
      </w:r>
      <w:r w:rsidR="005005E3">
        <w:rPr>
          <w:rFonts w:ascii="Times New Roman" w:hAnsi="Times New Roman" w:cs="Times New Roman"/>
          <w:sz w:val="24"/>
          <w:szCs w:val="24"/>
        </w:rPr>
        <w:t xml:space="preserve"> заключили настоящий договор о нижеследующем:</w:t>
      </w:r>
    </w:p>
    <w:p w14:paraId="5A21DB20" w14:textId="77777777" w:rsidR="00503CF3" w:rsidRDefault="005005E3">
      <w:pPr>
        <w:pStyle w:val="ConsPlusNormal0"/>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1. Предмет договора.</w:t>
      </w:r>
    </w:p>
    <w:p w14:paraId="5FE04313" w14:textId="64196903" w:rsidR="00503CF3" w:rsidRDefault="005005E3">
      <w:pPr>
        <w:ind w:firstLine="540"/>
        <w:jc w:val="both"/>
        <w:rPr>
          <w:bCs/>
          <w:sz w:val="24"/>
          <w:szCs w:val="24"/>
        </w:rPr>
      </w:pPr>
      <w:r>
        <w:rPr>
          <w:sz w:val="24"/>
          <w:szCs w:val="24"/>
        </w:rPr>
        <w:t xml:space="preserve">1.1. Предметом договора является внесение Претендентом задатка для участия в торгах по продаже имущества </w:t>
      </w:r>
      <w:r w:rsidR="00A051D0">
        <w:rPr>
          <w:sz w:val="24"/>
          <w:szCs w:val="24"/>
        </w:rPr>
        <w:t>АО «</w:t>
      </w:r>
      <w:proofErr w:type="spellStart"/>
      <w:r w:rsidR="00A051D0">
        <w:rPr>
          <w:sz w:val="24"/>
          <w:szCs w:val="24"/>
        </w:rPr>
        <w:t>ВолгаНИИгипрозем</w:t>
      </w:r>
      <w:proofErr w:type="spellEnd"/>
      <w:r w:rsidR="00A051D0">
        <w:rPr>
          <w:sz w:val="24"/>
          <w:szCs w:val="24"/>
        </w:rPr>
        <w:t>»</w:t>
      </w:r>
      <w:r>
        <w:rPr>
          <w:sz w:val="24"/>
          <w:szCs w:val="24"/>
        </w:rPr>
        <w:t xml:space="preserve"> с открытых торгов в форме аукциона</w:t>
      </w:r>
      <w:r>
        <w:rPr>
          <w:bCs/>
          <w:sz w:val="24"/>
          <w:szCs w:val="24"/>
        </w:rPr>
        <w:t>,</w:t>
      </w:r>
      <w:r>
        <w:rPr>
          <w:sz w:val="24"/>
          <w:szCs w:val="24"/>
        </w:rPr>
        <w:t xml:space="preserve"> проводимого на электронной торговой площадке по адресу: </w:t>
      </w:r>
      <w:r>
        <w:t>https://</w:t>
      </w:r>
      <w:r>
        <w:rPr>
          <w:lang w:val="en-US"/>
        </w:rPr>
        <w:t>rad</w:t>
      </w:r>
      <w:r>
        <w:t>.lot-online.ru//</w:t>
      </w:r>
    </w:p>
    <w:p w14:paraId="397A11AF" w14:textId="77777777" w:rsidR="00503CF3" w:rsidRDefault="005005E3">
      <w:pPr>
        <w:ind w:firstLine="540"/>
        <w:jc w:val="both"/>
        <w:rPr>
          <w:bCs/>
          <w:sz w:val="24"/>
          <w:szCs w:val="24"/>
        </w:rPr>
      </w:pPr>
      <w:r>
        <w:rPr>
          <w:sz w:val="24"/>
          <w:szCs w:val="24"/>
        </w:rPr>
        <w:t>1.2. Заявки на участие в торгах подаются оператору электронной площадки по адресу</w:t>
      </w:r>
      <w:proofErr w:type="gramStart"/>
      <w:r>
        <w:rPr>
          <w:sz w:val="24"/>
          <w:szCs w:val="24"/>
        </w:rPr>
        <w:t>:</w:t>
      </w:r>
      <w:r>
        <w:rPr>
          <w:b/>
          <w:bCs/>
        </w:rPr>
        <w:t xml:space="preserve"> </w:t>
      </w:r>
      <w:r>
        <w:rPr>
          <w:sz w:val="24"/>
          <w:szCs w:val="24"/>
        </w:rPr>
        <w:t>:</w:t>
      </w:r>
      <w:proofErr w:type="gramEnd"/>
      <w:r>
        <w:rPr>
          <w:sz w:val="24"/>
          <w:szCs w:val="24"/>
        </w:rPr>
        <w:t xml:space="preserve"> </w:t>
      </w:r>
      <w:r>
        <w:t>https://</w:t>
      </w:r>
      <w:r>
        <w:rPr>
          <w:lang w:val="en-US"/>
        </w:rPr>
        <w:t>rad</w:t>
      </w:r>
      <w:r>
        <w:t>.lot-online.ru//</w:t>
      </w:r>
    </w:p>
    <w:p w14:paraId="1B0541FD" w14:textId="54715981" w:rsidR="00503CF3" w:rsidRDefault="005005E3">
      <w:pPr>
        <w:snapToGrid w:val="0"/>
        <w:ind w:firstLine="540"/>
        <w:jc w:val="both"/>
        <w:rPr>
          <w:sz w:val="24"/>
          <w:szCs w:val="24"/>
        </w:rPr>
      </w:pPr>
      <w:r>
        <w:rPr>
          <w:sz w:val="24"/>
          <w:szCs w:val="24"/>
        </w:rPr>
        <w:t xml:space="preserve">1.3. Претендент подает заявку на приобретение имущества </w:t>
      </w:r>
      <w:bookmarkStart w:id="0" w:name="_Hlk75770935"/>
      <w:r w:rsidR="00A051D0">
        <w:rPr>
          <w:sz w:val="24"/>
          <w:szCs w:val="24"/>
        </w:rPr>
        <w:t>АО «</w:t>
      </w:r>
      <w:proofErr w:type="spellStart"/>
      <w:r w:rsidR="00A051D0">
        <w:rPr>
          <w:sz w:val="24"/>
          <w:szCs w:val="24"/>
        </w:rPr>
        <w:t>ВолгоНИИгипрозем</w:t>
      </w:r>
      <w:proofErr w:type="spellEnd"/>
      <w:r w:rsidR="00A051D0">
        <w:rPr>
          <w:sz w:val="24"/>
          <w:szCs w:val="24"/>
        </w:rPr>
        <w:t>»</w:t>
      </w:r>
      <w:bookmarkEnd w:id="0"/>
      <w:r>
        <w:rPr>
          <w:sz w:val="24"/>
          <w:szCs w:val="24"/>
        </w:rPr>
        <w:t xml:space="preserve"> по лоту № _____.</w:t>
      </w:r>
    </w:p>
    <w:p w14:paraId="33C15177" w14:textId="77777777" w:rsidR="00503CF3" w:rsidRDefault="005005E3">
      <w:pPr>
        <w:ind w:firstLine="540"/>
        <w:jc w:val="both"/>
      </w:pPr>
      <w:r>
        <w:rPr>
          <w:sz w:val="24"/>
          <w:szCs w:val="24"/>
        </w:rPr>
        <w:t>1.4. Стоимость лота №___ составляет ________,00 (____________________) рублей.</w:t>
      </w:r>
    </w:p>
    <w:p w14:paraId="1A5F11CF" w14:textId="589A3601" w:rsidR="00503CF3" w:rsidRDefault="005005E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1.5. Задаток за участие в торгах по продаже имущества </w:t>
      </w:r>
      <w:r w:rsidR="00A051D0" w:rsidRPr="00A051D0">
        <w:rPr>
          <w:rFonts w:ascii="Times New Roman" w:hAnsi="Times New Roman" w:cs="Times New Roman"/>
          <w:sz w:val="24"/>
          <w:szCs w:val="24"/>
        </w:rPr>
        <w:t>АО «</w:t>
      </w:r>
      <w:proofErr w:type="spellStart"/>
      <w:r w:rsidR="00A051D0" w:rsidRPr="00A051D0">
        <w:rPr>
          <w:rFonts w:ascii="Times New Roman" w:hAnsi="Times New Roman" w:cs="Times New Roman"/>
          <w:sz w:val="24"/>
          <w:szCs w:val="24"/>
        </w:rPr>
        <w:t>ВолгоНИИгипрозем</w:t>
      </w:r>
      <w:proofErr w:type="spellEnd"/>
      <w:r w:rsidR="00A051D0" w:rsidRPr="00A051D0">
        <w:rPr>
          <w:rFonts w:ascii="Times New Roman" w:hAnsi="Times New Roman" w:cs="Times New Roman"/>
          <w:sz w:val="24"/>
          <w:szCs w:val="24"/>
        </w:rPr>
        <w:t>»</w:t>
      </w:r>
      <w:r>
        <w:rPr>
          <w:rFonts w:ascii="Times New Roman" w:hAnsi="Times New Roman" w:cs="Times New Roman"/>
          <w:sz w:val="24"/>
          <w:szCs w:val="24"/>
        </w:rPr>
        <w:t xml:space="preserve"> с открытых торгов в форме аукциона установлен в размере </w:t>
      </w:r>
      <w:r w:rsidR="0018036A">
        <w:rPr>
          <w:rFonts w:ascii="Times New Roman" w:hAnsi="Times New Roman" w:cs="Times New Roman"/>
          <w:sz w:val="24"/>
          <w:szCs w:val="24"/>
        </w:rPr>
        <w:t>1</w:t>
      </w:r>
      <w:r>
        <w:rPr>
          <w:rFonts w:ascii="Times New Roman" w:hAnsi="Times New Roman" w:cs="Times New Roman"/>
          <w:sz w:val="24"/>
          <w:szCs w:val="24"/>
        </w:rPr>
        <w:t>0% от начальной продажной цены и составляет _________,00 (__________________) рублей.</w:t>
      </w:r>
    </w:p>
    <w:p w14:paraId="4C3AE1EE" w14:textId="77777777" w:rsidR="00503CF3" w:rsidRDefault="00503CF3">
      <w:pPr>
        <w:pStyle w:val="ConsPlusNormal0"/>
        <w:widowControl/>
        <w:ind w:firstLine="540"/>
        <w:rPr>
          <w:rFonts w:ascii="Times New Roman" w:hAnsi="Times New Roman" w:cs="Times New Roman"/>
          <w:b/>
          <w:bCs/>
          <w:sz w:val="16"/>
          <w:szCs w:val="16"/>
        </w:rPr>
      </w:pPr>
    </w:p>
    <w:p w14:paraId="09FA35FD" w14:textId="77777777" w:rsidR="00503CF3" w:rsidRDefault="005005E3">
      <w:pPr>
        <w:pStyle w:val="ConsPlusNormal0"/>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2. Обязанности сторон.</w:t>
      </w:r>
    </w:p>
    <w:p w14:paraId="5EF5EC2C" w14:textId="77777777" w:rsidR="00503CF3" w:rsidRDefault="005005E3">
      <w:pPr>
        <w:pStyle w:val="ConsPlusNormal0"/>
        <w:widowControl/>
        <w:ind w:firstLine="540"/>
        <w:jc w:val="both"/>
        <w:rPr>
          <w:rFonts w:ascii="Times New Roman" w:hAnsi="Times New Roman" w:cs="Times New Roman"/>
          <w:i/>
          <w:iCs/>
          <w:sz w:val="24"/>
          <w:szCs w:val="24"/>
          <w:u w:val="single"/>
        </w:rPr>
      </w:pPr>
      <w:r>
        <w:rPr>
          <w:rFonts w:ascii="Times New Roman" w:hAnsi="Times New Roman" w:cs="Times New Roman"/>
          <w:i/>
          <w:iCs/>
          <w:sz w:val="24"/>
          <w:szCs w:val="24"/>
        </w:rPr>
        <w:t>2.1. Претендент обязан:</w:t>
      </w:r>
    </w:p>
    <w:p w14:paraId="1B7235D8" w14:textId="1439BFAB" w:rsidR="00503CF3" w:rsidRPr="00BD1C0C" w:rsidRDefault="005005E3">
      <w:pPr>
        <w:tabs>
          <w:tab w:val="left" w:pos="1382"/>
        </w:tabs>
        <w:ind w:firstLine="540"/>
        <w:jc w:val="both"/>
        <w:rPr>
          <w:sz w:val="24"/>
          <w:szCs w:val="24"/>
        </w:rPr>
      </w:pPr>
      <w:r>
        <w:rPr>
          <w:sz w:val="24"/>
          <w:szCs w:val="24"/>
        </w:rPr>
        <w:t xml:space="preserve">2.1.1. Обеспечить поступление указанных в п. 1.5. настоящего договора денежных средств на расчетный счет </w:t>
      </w:r>
      <w:r w:rsidR="00A051D0" w:rsidRPr="00A051D0">
        <w:rPr>
          <w:sz w:val="24"/>
          <w:szCs w:val="24"/>
        </w:rPr>
        <w:t>АО «</w:t>
      </w:r>
      <w:proofErr w:type="spellStart"/>
      <w:r w:rsidR="00A051D0" w:rsidRPr="00BD1C0C">
        <w:rPr>
          <w:sz w:val="24"/>
          <w:szCs w:val="24"/>
        </w:rPr>
        <w:t>ВолгоНИИгипрозем</w:t>
      </w:r>
      <w:proofErr w:type="spellEnd"/>
      <w:r w:rsidR="00A051D0" w:rsidRPr="00BD1C0C">
        <w:rPr>
          <w:sz w:val="24"/>
          <w:szCs w:val="24"/>
        </w:rPr>
        <w:t>»</w:t>
      </w:r>
      <w:r w:rsidRPr="00BD1C0C">
        <w:rPr>
          <w:sz w:val="24"/>
          <w:szCs w:val="24"/>
        </w:rPr>
        <w:t xml:space="preserve"> до </w:t>
      </w:r>
      <w:r w:rsidR="00BD1C0C" w:rsidRPr="00BD1C0C">
        <w:rPr>
          <w:sz w:val="24"/>
          <w:szCs w:val="24"/>
        </w:rPr>
        <w:t>окончания приема заявок</w:t>
      </w:r>
      <w:r w:rsidRPr="00BD1C0C">
        <w:rPr>
          <w:sz w:val="24"/>
          <w:szCs w:val="24"/>
        </w:rPr>
        <w:t>.</w:t>
      </w:r>
    </w:p>
    <w:p w14:paraId="07885B7D" w14:textId="2F4E7281" w:rsidR="00503CF3" w:rsidRDefault="005005E3">
      <w:pPr>
        <w:pStyle w:val="ConsPlusNormal0"/>
        <w:widowControl/>
        <w:ind w:firstLine="540"/>
        <w:jc w:val="both"/>
        <w:rPr>
          <w:rFonts w:ascii="Times New Roman" w:hAnsi="Times New Roman" w:cs="Times New Roman"/>
          <w:sz w:val="24"/>
          <w:szCs w:val="24"/>
        </w:rPr>
      </w:pPr>
      <w:r w:rsidRPr="00BD1C0C">
        <w:rPr>
          <w:rFonts w:ascii="Times New Roman" w:hAnsi="Times New Roman" w:cs="Times New Roman"/>
          <w:sz w:val="24"/>
          <w:szCs w:val="24"/>
        </w:rPr>
        <w:t>2.1.2. В случае признания Претендента победителем торгов в течении 5 рабочих дней после подведения итогов торгов, заключить договор купли-продажи по приобретению указанного в п. 1.3 настоящего договора имущества, и в течение</w:t>
      </w:r>
      <w:r>
        <w:rPr>
          <w:rFonts w:ascii="Times New Roman" w:hAnsi="Times New Roman" w:cs="Times New Roman"/>
          <w:sz w:val="24"/>
          <w:szCs w:val="24"/>
        </w:rPr>
        <w:t xml:space="preserve"> </w:t>
      </w:r>
      <w:r w:rsidR="00217E96">
        <w:rPr>
          <w:rFonts w:ascii="Times New Roman" w:hAnsi="Times New Roman" w:cs="Times New Roman"/>
          <w:sz w:val="24"/>
          <w:szCs w:val="24"/>
        </w:rPr>
        <w:t>5</w:t>
      </w:r>
      <w:r>
        <w:rPr>
          <w:rFonts w:ascii="Times New Roman" w:hAnsi="Times New Roman" w:cs="Times New Roman"/>
          <w:sz w:val="24"/>
          <w:szCs w:val="24"/>
        </w:rPr>
        <w:t xml:space="preserve"> </w:t>
      </w:r>
      <w:r w:rsidR="00217E96">
        <w:rPr>
          <w:rFonts w:ascii="Times New Roman" w:hAnsi="Times New Roman" w:cs="Times New Roman"/>
          <w:sz w:val="24"/>
          <w:szCs w:val="24"/>
        </w:rPr>
        <w:t>рабочих</w:t>
      </w:r>
      <w:r>
        <w:rPr>
          <w:rFonts w:ascii="Times New Roman" w:hAnsi="Times New Roman" w:cs="Times New Roman"/>
          <w:sz w:val="24"/>
          <w:szCs w:val="24"/>
        </w:rPr>
        <w:t xml:space="preserve"> дней со дня подписания договора купли-продажи произвести оплату за приобретенное имущество. В случае отказа или уклонения Претендента, признанного победителем торгов, от подписания договора купли-продажи имущества в течении 5 (пяти) рабочих дней с даты получения договора купли-продажи</w:t>
      </w:r>
      <w:r w:rsidR="00A051D0">
        <w:rPr>
          <w:rFonts w:ascii="Times New Roman" w:hAnsi="Times New Roman" w:cs="Times New Roman"/>
          <w:sz w:val="24"/>
          <w:szCs w:val="24"/>
        </w:rPr>
        <w:t>,</w:t>
      </w:r>
      <w:r>
        <w:rPr>
          <w:rFonts w:ascii="Times New Roman" w:hAnsi="Times New Roman" w:cs="Times New Roman"/>
          <w:sz w:val="24"/>
          <w:szCs w:val="24"/>
        </w:rPr>
        <w:t xml:space="preserve"> Претендент утрачивает право на заключение договора купли-продажи</w:t>
      </w:r>
      <w:r w:rsidR="00A051D0">
        <w:rPr>
          <w:rFonts w:ascii="Times New Roman" w:hAnsi="Times New Roman" w:cs="Times New Roman"/>
          <w:sz w:val="24"/>
          <w:szCs w:val="24"/>
        </w:rPr>
        <w:t xml:space="preserve">, при этом сумма задатка, уплаченная Претендентом в соответствии с условиями настоящего договора </w:t>
      </w:r>
      <w:r w:rsidR="00253BCA">
        <w:rPr>
          <w:rFonts w:ascii="Times New Roman" w:hAnsi="Times New Roman" w:cs="Times New Roman"/>
          <w:sz w:val="24"/>
          <w:szCs w:val="24"/>
        </w:rPr>
        <w:t>П</w:t>
      </w:r>
      <w:r w:rsidR="00A051D0">
        <w:rPr>
          <w:rFonts w:ascii="Times New Roman" w:hAnsi="Times New Roman" w:cs="Times New Roman"/>
          <w:sz w:val="24"/>
          <w:szCs w:val="24"/>
        </w:rPr>
        <w:t>ретенденту не возвращается.</w:t>
      </w:r>
    </w:p>
    <w:p w14:paraId="152A90D8" w14:textId="77777777" w:rsidR="00503CF3" w:rsidRDefault="005005E3">
      <w:pPr>
        <w:pStyle w:val="ConsPlusNormal0"/>
        <w:widowControl/>
        <w:ind w:firstLine="540"/>
        <w:jc w:val="both"/>
      </w:pPr>
      <w:r>
        <w:rPr>
          <w:rFonts w:ascii="Times New Roman" w:hAnsi="Times New Roman" w:cs="Times New Roman"/>
          <w:i/>
          <w:iCs/>
          <w:sz w:val="24"/>
          <w:szCs w:val="24"/>
        </w:rPr>
        <w:t>2.2. Продавец обязан:</w:t>
      </w:r>
    </w:p>
    <w:p w14:paraId="1D037E6B" w14:textId="77777777"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2.2.1. В случае отзыва Претендентом поданной заявки, возвратить задаток в срок не позднее 10 (десяти) дней с момента поступления Организатору торгов соответствующего уведомления от Претендента. Претендент вправе отозвать заявку на участие в торгах в любое время до окончания срока представления заявок на участие в торгах.</w:t>
      </w:r>
    </w:p>
    <w:p w14:paraId="2A15A172" w14:textId="77777777" w:rsidR="00503CF3" w:rsidRDefault="005005E3">
      <w:pPr>
        <w:pStyle w:val="ConsPlusNormal0"/>
        <w:widowControl/>
        <w:ind w:firstLine="540"/>
        <w:jc w:val="both"/>
      </w:pPr>
      <w:r>
        <w:rPr>
          <w:rFonts w:ascii="Times New Roman" w:hAnsi="Times New Roman" w:cs="Times New Roman"/>
          <w:sz w:val="24"/>
          <w:szCs w:val="24"/>
        </w:rPr>
        <w:t>2.2.2. В случае принятия решения Организатором торгов об отказе в допуске Претендента к участию в торгах вернуть задаток в течение 10 (десяти) дней со дня подписания Организатором торгов протокола об отказе в допуске заявителя к участию в торгах.</w:t>
      </w:r>
    </w:p>
    <w:p w14:paraId="1ADF4C56" w14:textId="7295D0DE" w:rsidR="00503CF3" w:rsidRDefault="005005E3">
      <w:pPr>
        <w:pStyle w:val="ConsPlusNormal0"/>
        <w:widowControl/>
        <w:ind w:firstLine="540"/>
        <w:jc w:val="both"/>
      </w:pPr>
      <w:r>
        <w:rPr>
          <w:rFonts w:ascii="Times New Roman" w:hAnsi="Times New Roman" w:cs="Times New Roman"/>
          <w:sz w:val="24"/>
          <w:szCs w:val="24"/>
        </w:rPr>
        <w:t xml:space="preserve">2.2.3. В случае непризнания Претендента победителем торгов вернуть задаток в течение </w:t>
      </w:r>
      <w:r w:rsidR="008319B3">
        <w:rPr>
          <w:rFonts w:ascii="Times New Roman" w:hAnsi="Times New Roman" w:cs="Times New Roman"/>
          <w:sz w:val="24"/>
          <w:szCs w:val="24"/>
        </w:rPr>
        <w:t>10</w:t>
      </w:r>
      <w:r>
        <w:rPr>
          <w:rFonts w:ascii="Times New Roman" w:hAnsi="Times New Roman" w:cs="Times New Roman"/>
          <w:sz w:val="24"/>
          <w:szCs w:val="24"/>
        </w:rPr>
        <w:t xml:space="preserve"> (</w:t>
      </w:r>
      <w:r w:rsidR="008319B3">
        <w:rPr>
          <w:rFonts w:ascii="Times New Roman" w:hAnsi="Times New Roman" w:cs="Times New Roman"/>
          <w:sz w:val="24"/>
          <w:szCs w:val="24"/>
        </w:rPr>
        <w:t>десяти</w:t>
      </w:r>
      <w:r>
        <w:rPr>
          <w:rFonts w:ascii="Times New Roman" w:hAnsi="Times New Roman" w:cs="Times New Roman"/>
          <w:sz w:val="24"/>
          <w:szCs w:val="24"/>
        </w:rPr>
        <w:t>) рабочих дней со дня подписания протокола о результатах проведения торгов.</w:t>
      </w:r>
    </w:p>
    <w:p w14:paraId="03804262" w14:textId="77777777" w:rsidR="00503CF3" w:rsidRDefault="00503CF3">
      <w:pPr>
        <w:pStyle w:val="ConsPlusNormal0"/>
        <w:widowControl/>
        <w:ind w:firstLine="540"/>
        <w:jc w:val="both"/>
        <w:rPr>
          <w:rFonts w:ascii="Times New Roman" w:hAnsi="Times New Roman" w:cs="Times New Roman"/>
          <w:sz w:val="24"/>
          <w:szCs w:val="24"/>
        </w:rPr>
      </w:pPr>
    </w:p>
    <w:p w14:paraId="6A7F537C" w14:textId="77777777" w:rsidR="00503CF3" w:rsidRDefault="00503CF3">
      <w:pPr>
        <w:pStyle w:val="ConsPlusNormal0"/>
        <w:widowControl/>
        <w:ind w:firstLine="540"/>
        <w:jc w:val="center"/>
        <w:rPr>
          <w:rFonts w:ascii="Times New Roman" w:hAnsi="Times New Roman" w:cs="Times New Roman"/>
          <w:b/>
          <w:bCs/>
          <w:sz w:val="24"/>
          <w:szCs w:val="24"/>
        </w:rPr>
      </w:pPr>
    </w:p>
    <w:p w14:paraId="31B2AA7E" w14:textId="77777777" w:rsidR="00503CF3" w:rsidRDefault="005005E3">
      <w:pPr>
        <w:pStyle w:val="ConsPlusNormal0"/>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lastRenderedPageBreak/>
        <w:t>3. Срок действия договора.</w:t>
      </w:r>
    </w:p>
    <w:p w14:paraId="2E437393" w14:textId="77777777"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3.1. Настоящий договор вступает в силу со дня его подписания сторонами.</w:t>
      </w:r>
    </w:p>
    <w:p w14:paraId="6CB59309" w14:textId="77777777"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3.2. 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14:paraId="0CD6A8CC" w14:textId="77777777" w:rsidR="00503CF3" w:rsidRDefault="005005E3">
      <w:pPr>
        <w:pStyle w:val="ConsPlusNormal0"/>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4. Заключительные положения.</w:t>
      </w:r>
    </w:p>
    <w:p w14:paraId="22165C93" w14:textId="7386A381"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 Споры, возникающие при исполнении настоящего договора, разрешаются сторонами путем переговоров между собой, а в случае недостижения согласия рассматриваются в </w:t>
      </w:r>
      <w:r w:rsidR="00253BCA">
        <w:rPr>
          <w:rFonts w:ascii="Times New Roman" w:hAnsi="Times New Roman" w:cs="Times New Roman"/>
          <w:sz w:val="24"/>
          <w:szCs w:val="24"/>
        </w:rPr>
        <w:t>судебном порядке</w:t>
      </w:r>
      <w:r w:rsidR="001300C9">
        <w:rPr>
          <w:rFonts w:ascii="Times New Roman" w:hAnsi="Times New Roman" w:cs="Times New Roman"/>
          <w:sz w:val="24"/>
          <w:szCs w:val="24"/>
        </w:rPr>
        <w:t xml:space="preserve"> по месту нахождения АО «</w:t>
      </w:r>
      <w:proofErr w:type="spellStart"/>
      <w:r w:rsidR="001300C9">
        <w:rPr>
          <w:rFonts w:ascii="Times New Roman" w:hAnsi="Times New Roman" w:cs="Times New Roman"/>
          <w:sz w:val="24"/>
          <w:szCs w:val="24"/>
        </w:rPr>
        <w:t>ВолгоНИИгипрозем</w:t>
      </w:r>
      <w:proofErr w:type="spellEnd"/>
      <w:r w:rsidR="001300C9">
        <w:rPr>
          <w:rFonts w:ascii="Times New Roman" w:hAnsi="Times New Roman" w:cs="Times New Roman"/>
          <w:sz w:val="24"/>
          <w:szCs w:val="24"/>
        </w:rPr>
        <w:t>».</w:t>
      </w:r>
    </w:p>
    <w:p w14:paraId="4EEA2B4C" w14:textId="77777777"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4.2. Настоящий договор составлен в двух экземплярах, имеющих одинаковую юридическую силу, один из которых находится у Организатора торгов, а другой - у Претендента.</w:t>
      </w:r>
    </w:p>
    <w:p w14:paraId="088BEFC9" w14:textId="77777777" w:rsidR="00503CF3" w:rsidRDefault="005005E3">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4.3. Во всем ином, что не предусмотрено настоящим договором, стороны руководствуются действующим законодательством РФ.</w:t>
      </w:r>
    </w:p>
    <w:p w14:paraId="7B7A9814" w14:textId="77777777" w:rsidR="00503CF3" w:rsidRDefault="00503CF3">
      <w:pPr>
        <w:pStyle w:val="ConsPlusNormal0"/>
        <w:widowControl/>
        <w:ind w:firstLine="0"/>
        <w:jc w:val="both"/>
        <w:rPr>
          <w:rFonts w:ascii="Times New Roman" w:hAnsi="Times New Roman" w:cs="Times New Roman"/>
          <w:sz w:val="16"/>
          <w:szCs w:val="16"/>
        </w:rPr>
      </w:pPr>
    </w:p>
    <w:p w14:paraId="292941F6" w14:textId="77777777" w:rsidR="00503CF3" w:rsidRDefault="005005E3">
      <w:pPr>
        <w:pStyle w:val="ConsPlusNormal0"/>
        <w:widowControl/>
        <w:tabs>
          <w:tab w:val="center" w:pos="4536"/>
          <w:tab w:val="right" w:pos="9073"/>
        </w:tabs>
        <w:ind w:firstLine="0"/>
        <w:rPr>
          <w:rFonts w:ascii="Times New Roman" w:hAnsi="Times New Roman" w:cs="Times New Roman"/>
          <w:b/>
          <w:bCs/>
          <w:sz w:val="24"/>
          <w:szCs w:val="24"/>
        </w:rPr>
      </w:pPr>
      <w:r>
        <w:rPr>
          <w:rFonts w:ascii="Times New Roman" w:hAnsi="Times New Roman" w:cs="Times New Roman"/>
          <w:b/>
          <w:bCs/>
          <w:sz w:val="24"/>
          <w:szCs w:val="24"/>
        </w:rPr>
        <w:tab/>
        <w:t>5. Подписи, адреса и платежные реквизиты сторон.</w:t>
      </w:r>
    </w:p>
    <w:p w14:paraId="2ED4363C" w14:textId="77777777" w:rsidR="00503CF3" w:rsidRDefault="00503CF3">
      <w:pPr>
        <w:pStyle w:val="ConsPlusNormal0"/>
        <w:widowControl/>
        <w:tabs>
          <w:tab w:val="center" w:pos="4536"/>
          <w:tab w:val="right" w:pos="9073"/>
        </w:tabs>
        <w:ind w:firstLine="0"/>
        <w:rPr>
          <w:rFonts w:ascii="Times New Roman" w:hAnsi="Times New Roman" w:cs="Times New Roman"/>
          <w:b/>
          <w:bCs/>
          <w:sz w:val="24"/>
          <w:szCs w:val="24"/>
        </w:rPr>
      </w:pPr>
    </w:p>
    <w:tbl>
      <w:tblPr>
        <w:tblW w:w="9749" w:type="dxa"/>
        <w:jc w:val="center"/>
        <w:tblLook w:val="0000" w:firstRow="0" w:lastRow="0" w:firstColumn="0" w:lastColumn="0" w:noHBand="0" w:noVBand="0"/>
      </w:tblPr>
      <w:tblGrid>
        <w:gridCol w:w="4793"/>
        <w:gridCol w:w="4956"/>
      </w:tblGrid>
      <w:tr w:rsidR="00503CF3" w14:paraId="37024B7F" w14:textId="77777777">
        <w:trPr>
          <w:jc w:val="center"/>
        </w:trPr>
        <w:tc>
          <w:tcPr>
            <w:tcW w:w="4793" w:type="dxa"/>
            <w:shd w:val="clear" w:color="auto" w:fill="auto"/>
          </w:tcPr>
          <w:p w14:paraId="1E317AA9" w14:textId="77777777" w:rsidR="00503CF3" w:rsidRDefault="005005E3">
            <w:pPr>
              <w:jc w:val="center"/>
              <w:rPr>
                <w:b/>
                <w:sz w:val="24"/>
                <w:szCs w:val="24"/>
              </w:rPr>
            </w:pPr>
            <w:r>
              <w:rPr>
                <w:b/>
                <w:sz w:val="24"/>
                <w:szCs w:val="24"/>
              </w:rPr>
              <w:t>Продавец:</w:t>
            </w:r>
          </w:p>
          <w:p w14:paraId="6B3B5738" w14:textId="3EBB45F4" w:rsidR="00503CF3" w:rsidRDefault="00253BCA">
            <w:pPr>
              <w:jc w:val="both"/>
              <w:rPr>
                <w:sz w:val="24"/>
                <w:szCs w:val="24"/>
              </w:rPr>
            </w:pPr>
            <w:r w:rsidRPr="00253BCA">
              <w:rPr>
                <w:rFonts w:eastAsiaTheme="minorHAnsi" w:cstheme="minorBidi"/>
                <w:b/>
                <w:sz w:val="24"/>
                <w:szCs w:val="24"/>
                <w:lang w:eastAsia="en-US"/>
              </w:rPr>
              <w:t xml:space="preserve"> </w:t>
            </w:r>
            <w:r w:rsidRPr="00253BCA">
              <w:rPr>
                <w:b/>
                <w:sz w:val="24"/>
                <w:szCs w:val="24"/>
              </w:rPr>
              <w:t>АО «Волжский научно-исследовательский и проектно-изыскательский институт по землеустройству»</w:t>
            </w:r>
          </w:p>
          <w:p w14:paraId="5E8DF787" w14:textId="3A2BBAD6" w:rsidR="00503CF3" w:rsidRDefault="005005E3">
            <w:pPr>
              <w:jc w:val="both"/>
              <w:rPr>
                <w:b/>
                <w:sz w:val="24"/>
                <w:szCs w:val="24"/>
              </w:rPr>
            </w:pPr>
            <w:r>
              <w:rPr>
                <w:sz w:val="24"/>
                <w:szCs w:val="24"/>
              </w:rPr>
              <w:t>(</w:t>
            </w:r>
            <w:r w:rsidR="00253BCA">
              <w:rPr>
                <w:sz w:val="24"/>
                <w:szCs w:val="24"/>
              </w:rPr>
              <w:t>АО «</w:t>
            </w:r>
            <w:proofErr w:type="spellStart"/>
            <w:r w:rsidR="00253BCA">
              <w:rPr>
                <w:sz w:val="24"/>
                <w:szCs w:val="24"/>
              </w:rPr>
              <w:t>ВолгоНИИгипрозем</w:t>
            </w:r>
            <w:proofErr w:type="spellEnd"/>
            <w:r w:rsidR="00253BCA">
              <w:rPr>
                <w:sz w:val="24"/>
                <w:szCs w:val="24"/>
              </w:rPr>
              <w:t>»</w:t>
            </w:r>
            <w:r>
              <w:rPr>
                <w:sz w:val="24"/>
                <w:szCs w:val="24"/>
              </w:rPr>
              <w:t>)</w:t>
            </w:r>
          </w:p>
        </w:tc>
        <w:tc>
          <w:tcPr>
            <w:tcW w:w="4956" w:type="dxa"/>
            <w:shd w:val="clear" w:color="auto" w:fill="auto"/>
          </w:tcPr>
          <w:p w14:paraId="075DDD5F" w14:textId="77777777" w:rsidR="00503CF3" w:rsidRDefault="005005E3">
            <w:pPr>
              <w:pStyle w:val="a6"/>
              <w:spacing w:after="0" w:line="240" w:lineRule="auto"/>
              <w:ind w:left="0"/>
              <w:jc w:val="center"/>
            </w:pPr>
            <w:r>
              <w:rPr>
                <w:rFonts w:ascii="Times New Roman" w:hAnsi="Times New Roman" w:cs="Times New Roman"/>
                <w:b/>
                <w:bCs/>
                <w:sz w:val="24"/>
                <w:szCs w:val="24"/>
              </w:rPr>
              <w:t>Претендент:</w:t>
            </w:r>
          </w:p>
        </w:tc>
      </w:tr>
      <w:tr w:rsidR="00503CF3" w14:paraId="4180E1C9" w14:textId="77777777">
        <w:trPr>
          <w:trHeight w:val="1098"/>
          <w:jc w:val="center"/>
        </w:trPr>
        <w:tc>
          <w:tcPr>
            <w:tcW w:w="4793" w:type="dxa"/>
            <w:shd w:val="clear" w:color="auto" w:fill="auto"/>
          </w:tcPr>
          <w:p w14:paraId="55993FCB" w14:textId="77777777" w:rsidR="00EB5F3B" w:rsidRDefault="005005E3" w:rsidP="00253BCA">
            <w:pPr>
              <w:ind w:right="-1"/>
              <w:jc w:val="both"/>
              <w:rPr>
                <w:rFonts w:eastAsia="Calibri"/>
                <w:sz w:val="24"/>
                <w:szCs w:val="24"/>
                <w:lang w:eastAsia="en-US"/>
              </w:rPr>
            </w:pPr>
            <w:r w:rsidRPr="00EB5F3B">
              <w:rPr>
                <w:sz w:val="24"/>
                <w:szCs w:val="24"/>
              </w:rPr>
              <w:t xml:space="preserve">Адрес: </w:t>
            </w:r>
            <w:r w:rsidR="00253BCA" w:rsidRPr="00EB5F3B">
              <w:rPr>
                <w:rFonts w:eastAsia="Calibri"/>
                <w:bCs/>
                <w:sz w:val="24"/>
                <w:szCs w:val="24"/>
                <w:lang w:eastAsia="en-US"/>
              </w:rPr>
              <w:t>443063</w:t>
            </w:r>
            <w:r w:rsidR="00253BCA" w:rsidRPr="00EB5F3B">
              <w:rPr>
                <w:rFonts w:eastAsia="Calibri"/>
                <w:sz w:val="24"/>
                <w:szCs w:val="24"/>
                <w:lang w:eastAsia="en-US"/>
              </w:rPr>
              <w:t xml:space="preserve">, Самарская обл., </w:t>
            </w:r>
            <w:proofErr w:type="spellStart"/>
            <w:r w:rsidR="00253BCA" w:rsidRPr="00EB5F3B">
              <w:rPr>
                <w:rFonts w:eastAsia="Calibri"/>
                <w:sz w:val="24"/>
                <w:szCs w:val="24"/>
                <w:lang w:eastAsia="en-US"/>
              </w:rPr>
              <w:t>г.Самара</w:t>
            </w:r>
            <w:proofErr w:type="spellEnd"/>
            <w:r w:rsidR="00EB5F3B">
              <w:rPr>
                <w:rFonts w:eastAsia="Calibri"/>
                <w:sz w:val="24"/>
                <w:szCs w:val="24"/>
                <w:lang w:eastAsia="en-US"/>
              </w:rPr>
              <w:t>,</w:t>
            </w:r>
          </w:p>
          <w:p w14:paraId="08562E35" w14:textId="40CC3898" w:rsidR="00253BCA" w:rsidRPr="00EB5F3B" w:rsidRDefault="00253BCA" w:rsidP="00253BCA">
            <w:pPr>
              <w:ind w:right="-1"/>
              <w:jc w:val="both"/>
              <w:rPr>
                <w:rFonts w:eastAsia="Calibri"/>
                <w:sz w:val="24"/>
                <w:szCs w:val="24"/>
                <w:lang w:eastAsia="en-US"/>
              </w:rPr>
            </w:pPr>
            <w:r w:rsidRPr="00EB5F3B">
              <w:rPr>
                <w:rFonts w:eastAsia="Calibri"/>
                <w:sz w:val="24"/>
                <w:szCs w:val="24"/>
                <w:lang w:eastAsia="en-US"/>
              </w:rPr>
              <w:t>ул.</w:t>
            </w:r>
            <w:r w:rsidR="00EB5F3B">
              <w:rPr>
                <w:rFonts w:eastAsia="Calibri"/>
                <w:sz w:val="24"/>
                <w:szCs w:val="24"/>
                <w:lang w:eastAsia="en-US"/>
              </w:rPr>
              <w:t xml:space="preserve"> </w:t>
            </w:r>
            <w:r w:rsidRPr="00EB5F3B">
              <w:rPr>
                <w:rFonts w:eastAsia="Calibri"/>
                <w:sz w:val="24"/>
                <w:szCs w:val="24"/>
                <w:lang w:eastAsia="en-US"/>
              </w:rPr>
              <w:t>Ставропольская</w:t>
            </w:r>
            <w:r w:rsidR="00EB5F3B">
              <w:rPr>
                <w:rFonts w:eastAsia="Calibri"/>
                <w:sz w:val="24"/>
                <w:szCs w:val="24"/>
                <w:lang w:eastAsia="en-US"/>
              </w:rPr>
              <w:t>,</w:t>
            </w:r>
            <w:r w:rsidRPr="00EB5F3B">
              <w:rPr>
                <w:rFonts w:eastAsia="Calibri"/>
                <w:sz w:val="24"/>
                <w:szCs w:val="24"/>
                <w:lang w:eastAsia="en-US"/>
              </w:rPr>
              <w:t xml:space="preserve"> д.45</w:t>
            </w:r>
          </w:p>
          <w:p w14:paraId="06593F84" w14:textId="37E83D0E" w:rsidR="00503CF3" w:rsidRPr="00EB5F3B" w:rsidRDefault="005005E3">
            <w:pPr>
              <w:jc w:val="both"/>
              <w:rPr>
                <w:sz w:val="24"/>
                <w:szCs w:val="24"/>
              </w:rPr>
            </w:pPr>
            <w:proofErr w:type="gramStart"/>
            <w:r w:rsidRPr="00EB5F3B">
              <w:rPr>
                <w:sz w:val="24"/>
                <w:szCs w:val="24"/>
              </w:rPr>
              <w:t xml:space="preserve">ИНН  </w:t>
            </w:r>
            <w:r w:rsidR="00EB5F3B" w:rsidRPr="00EB5F3B">
              <w:rPr>
                <w:sz w:val="24"/>
                <w:szCs w:val="24"/>
              </w:rPr>
              <w:t>6319097100</w:t>
            </w:r>
            <w:proofErr w:type="gramEnd"/>
            <w:r w:rsidRPr="00EB5F3B">
              <w:rPr>
                <w:sz w:val="24"/>
                <w:szCs w:val="24"/>
              </w:rPr>
              <w:t xml:space="preserve"> КПП </w:t>
            </w:r>
            <w:r w:rsidR="00EB5F3B" w:rsidRPr="00EB5F3B">
              <w:rPr>
                <w:sz w:val="24"/>
                <w:szCs w:val="24"/>
              </w:rPr>
              <w:t>631901001</w:t>
            </w:r>
          </w:p>
          <w:p w14:paraId="28E662A0" w14:textId="3664DE69" w:rsidR="00503CF3" w:rsidRPr="00EB5F3B" w:rsidRDefault="005005E3">
            <w:pPr>
              <w:jc w:val="both"/>
              <w:rPr>
                <w:sz w:val="24"/>
                <w:szCs w:val="24"/>
              </w:rPr>
            </w:pPr>
            <w:r w:rsidRPr="00EB5F3B">
              <w:rPr>
                <w:sz w:val="24"/>
                <w:szCs w:val="24"/>
              </w:rPr>
              <w:t xml:space="preserve">ОГРН </w:t>
            </w:r>
            <w:r w:rsidR="00EB5F3B" w:rsidRPr="00EB5F3B">
              <w:rPr>
                <w:sz w:val="24"/>
                <w:szCs w:val="24"/>
              </w:rPr>
              <w:t>1036300908434</w:t>
            </w:r>
          </w:p>
          <w:p w14:paraId="29626C64" w14:textId="6D176068" w:rsidR="00503CF3" w:rsidRPr="00EB5F3B" w:rsidRDefault="005005E3">
            <w:pPr>
              <w:jc w:val="both"/>
              <w:rPr>
                <w:sz w:val="24"/>
                <w:szCs w:val="24"/>
              </w:rPr>
            </w:pPr>
            <w:r w:rsidRPr="00EB5F3B">
              <w:rPr>
                <w:sz w:val="24"/>
                <w:szCs w:val="24"/>
              </w:rPr>
              <w:t xml:space="preserve">р/с </w:t>
            </w:r>
            <w:r w:rsidR="00EB5F3B" w:rsidRPr="00EB5F3B">
              <w:rPr>
                <w:sz w:val="24"/>
                <w:szCs w:val="24"/>
              </w:rPr>
              <w:t>40702810600120000918</w:t>
            </w:r>
          </w:p>
          <w:p w14:paraId="2AA5FE61" w14:textId="77777777" w:rsidR="00EB5F3B" w:rsidRPr="00EB5F3B" w:rsidRDefault="005005E3">
            <w:pPr>
              <w:jc w:val="both"/>
              <w:rPr>
                <w:sz w:val="24"/>
                <w:szCs w:val="24"/>
              </w:rPr>
            </w:pPr>
            <w:r w:rsidRPr="00EB5F3B">
              <w:rPr>
                <w:sz w:val="24"/>
                <w:szCs w:val="24"/>
              </w:rPr>
              <w:t xml:space="preserve">в </w:t>
            </w:r>
            <w:r w:rsidR="00EB5F3B" w:rsidRPr="00EB5F3B">
              <w:rPr>
                <w:sz w:val="24"/>
                <w:szCs w:val="24"/>
              </w:rPr>
              <w:t xml:space="preserve">Самарском Филиале Банка «ВБРР» (АО) </w:t>
            </w:r>
          </w:p>
          <w:p w14:paraId="3FE5111E" w14:textId="1415FD60" w:rsidR="00503CF3" w:rsidRPr="00EB5F3B" w:rsidRDefault="00EB5F3B">
            <w:pPr>
              <w:jc w:val="both"/>
              <w:rPr>
                <w:sz w:val="24"/>
                <w:szCs w:val="24"/>
              </w:rPr>
            </w:pPr>
            <w:r w:rsidRPr="00EB5F3B">
              <w:rPr>
                <w:sz w:val="24"/>
                <w:szCs w:val="24"/>
              </w:rPr>
              <w:t>г. Самара</w:t>
            </w:r>
          </w:p>
          <w:p w14:paraId="51CE8F1A" w14:textId="6BDD173D" w:rsidR="00503CF3" w:rsidRPr="00EB5F3B" w:rsidRDefault="005005E3">
            <w:pPr>
              <w:jc w:val="both"/>
              <w:rPr>
                <w:sz w:val="24"/>
                <w:szCs w:val="24"/>
              </w:rPr>
            </w:pPr>
            <w:r w:rsidRPr="00EB5F3B">
              <w:rPr>
                <w:sz w:val="24"/>
                <w:szCs w:val="24"/>
              </w:rPr>
              <w:t xml:space="preserve">БИК </w:t>
            </w:r>
            <w:r w:rsidR="00EB5F3B" w:rsidRPr="00EB5F3B">
              <w:rPr>
                <w:sz w:val="24"/>
                <w:szCs w:val="24"/>
              </w:rPr>
              <w:t>043601876</w:t>
            </w:r>
          </w:p>
          <w:p w14:paraId="7C54C52A" w14:textId="79477023" w:rsidR="00503CF3" w:rsidRPr="00EB5F3B" w:rsidRDefault="005005E3">
            <w:pPr>
              <w:jc w:val="both"/>
              <w:rPr>
                <w:sz w:val="24"/>
                <w:szCs w:val="24"/>
              </w:rPr>
            </w:pPr>
            <w:r w:rsidRPr="00EB5F3B">
              <w:rPr>
                <w:sz w:val="24"/>
                <w:szCs w:val="24"/>
              </w:rPr>
              <w:t xml:space="preserve">к/с </w:t>
            </w:r>
            <w:r w:rsidR="00EB5F3B" w:rsidRPr="00EB5F3B">
              <w:rPr>
                <w:sz w:val="24"/>
                <w:szCs w:val="24"/>
              </w:rPr>
              <w:t>30101810400000000876</w:t>
            </w:r>
          </w:p>
        </w:tc>
        <w:tc>
          <w:tcPr>
            <w:tcW w:w="4956" w:type="dxa"/>
            <w:shd w:val="clear" w:color="auto" w:fill="auto"/>
          </w:tcPr>
          <w:p w14:paraId="7ABBA9C9" w14:textId="35411301" w:rsidR="00503CF3" w:rsidRPr="00EB5F3B" w:rsidRDefault="00253BCA">
            <w:pPr>
              <w:tabs>
                <w:tab w:val="left" w:pos="1382"/>
              </w:tabs>
              <w:rPr>
                <w:color w:val="000000"/>
                <w:sz w:val="24"/>
                <w:szCs w:val="24"/>
              </w:rPr>
            </w:pPr>
            <w:r w:rsidRPr="00EB5F3B">
              <w:rPr>
                <w:color w:val="000000"/>
                <w:sz w:val="24"/>
                <w:szCs w:val="24"/>
              </w:rPr>
              <w:t>Ад</w:t>
            </w:r>
            <w:r w:rsidR="005005E3" w:rsidRPr="00EB5F3B">
              <w:rPr>
                <w:color w:val="000000"/>
                <w:sz w:val="24"/>
                <w:szCs w:val="24"/>
              </w:rPr>
              <w:t>рес: ___________, г. ___________, ул._________, д.____, оф.______</w:t>
            </w:r>
          </w:p>
          <w:p w14:paraId="0C6D71DE" w14:textId="77777777" w:rsidR="00503CF3" w:rsidRPr="00EB5F3B" w:rsidRDefault="005005E3">
            <w:pPr>
              <w:pStyle w:val="ConsPlusNormal0"/>
              <w:tabs>
                <w:tab w:val="center" w:pos="4536"/>
                <w:tab w:val="right" w:pos="9073"/>
              </w:tabs>
              <w:ind w:firstLine="0"/>
              <w:rPr>
                <w:rFonts w:ascii="Times New Roman" w:hAnsi="Times New Roman" w:cs="Times New Roman"/>
                <w:color w:val="000000"/>
                <w:sz w:val="24"/>
                <w:szCs w:val="24"/>
              </w:rPr>
            </w:pPr>
            <w:r w:rsidRPr="00EB5F3B">
              <w:rPr>
                <w:rFonts w:ascii="Times New Roman" w:hAnsi="Times New Roman" w:cs="Times New Roman"/>
                <w:color w:val="000000"/>
                <w:sz w:val="24"/>
                <w:szCs w:val="24"/>
              </w:rPr>
              <w:t xml:space="preserve">ИНН ______________, </w:t>
            </w:r>
          </w:p>
          <w:p w14:paraId="5DB61036" w14:textId="77777777" w:rsidR="00503CF3" w:rsidRPr="00EB5F3B" w:rsidRDefault="005005E3">
            <w:pPr>
              <w:pStyle w:val="ConsPlusNormal0"/>
              <w:tabs>
                <w:tab w:val="center" w:pos="4536"/>
                <w:tab w:val="right" w:pos="9073"/>
              </w:tabs>
              <w:ind w:firstLine="0"/>
              <w:rPr>
                <w:rFonts w:ascii="Times New Roman" w:hAnsi="Times New Roman" w:cs="Times New Roman"/>
                <w:color w:val="000000"/>
                <w:sz w:val="24"/>
                <w:szCs w:val="24"/>
              </w:rPr>
            </w:pPr>
            <w:r w:rsidRPr="00EB5F3B">
              <w:rPr>
                <w:rFonts w:ascii="Times New Roman" w:hAnsi="Times New Roman" w:cs="Times New Roman"/>
                <w:color w:val="000000"/>
                <w:sz w:val="24"/>
                <w:szCs w:val="24"/>
              </w:rPr>
              <w:t>КПП ______________,</w:t>
            </w:r>
          </w:p>
          <w:p w14:paraId="2C98DB28" w14:textId="77777777" w:rsidR="00503CF3" w:rsidRPr="00EB5F3B" w:rsidRDefault="005005E3">
            <w:pPr>
              <w:pStyle w:val="ConsPlusNormal0"/>
              <w:tabs>
                <w:tab w:val="center" w:pos="4536"/>
                <w:tab w:val="right" w:pos="9073"/>
              </w:tabs>
              <w:ind w:firstLine="0"/>
              <w:rPr>
                <w:rFonts w:ascii="Times New Roman" w:hAnsi="Times New Roman" w:cs="Times New Roman"/>
                <w:color w:val="000000"/>
                <w:sz w:val="24"/>
                <w:szCs w:val="24"/>
              </w:rPr>
            </w:pPr>
            <w:r w:rsidRPr="00EB5F3B">
              <w:rPr>
                <w:rFonts w:ascii="Times New Roman" w:hAnsi="Times New Roman" w:cs="Times New Roman"/>
                <w:color w:val="000000"/>
                <w:sz w:val="24"/>
                <w:szCs w:val="24"/>
              </w:rPr>
              <w:t xml:space="preserve">р/с ___________________________, </w:t>
            </w:r>
          </w:p>
          <w:p w14:paraId="7F1C6AD0" w14:textId="77777777" w:rsidR="00503CF3" w:rsidRPr="00EB5F3B" w:rsidRDefault="005005E3">
            <w:pPr>
              <w:pStyle w:val="ConsPlusNormal0"/>
              <w:tabs>
                <w:tab w:val="center" w:pos="4536"/>
                <w:tab w:val="right" w:pos="9073"/>
              </w:tabs>
              <w:ind w:firstLine="0"/>
              <w:rPr>
                <w:rFonts w:ascii="Times New Roman" w:hAnsi="Times New Roman" w:cs="Times New Roman"/>
                <w:color w:val="000000"/>
                <w:sz w:val="24"/>
                <w:szCs w:val="24"/>
              </w:rPr>
            </w:pPr>
            <w:r w:rsidRPr="00EB5F3B">
              <w:rPr>
                <w:rFonts w:ascii="Times New Roman" w:hAnsi="Times New Roman" w:cs="Times New Roman"/>
                <w:color w:val="000000"/>
                <w:sz w:val="24"/>
                <w:szCs w:val="24"/>
              </w:rPr>
              <w:t>в _________________________________,</w:t>
            </w:r>
          </w:p>
          <w:p w14:paraId="003AB33D" w14:textId="77777777" w:rsidR="00503CF3" w:rsidRPr="00EB5F3B" w:rsidRDefault="005005E3">
            <w:pPr>
              <w:pStyle w:val="ConsPlusNormal0"/>
              <w:tabs>
                <w:tab w:val="center" w:pos="4536"/>
                <w:tab w:val="right" w:pos="9073"/>
              </w:tabs>
              <w:ind w:firstLine="0"/>
              <w:rPr>
                <w:rFonts w:ascii="Times New Roman" w:hAnsi="Times New Roman" w:cs="Times New Roman"/>
                <w:color w:val="000000"/>
                <w:sz w:val="24"/>
                <w:szCs w:val="24"/>
              </w:rPr>
            </w:pPr>
            <w:r w:rsidRPr="00EB5F3B">
              <w:rPr>
                <w:rFonts w:ascii="Times New Roman" w:hAnsi="Times New Roman" w:cs="Times New Roman"/>
                <w:color w:val="000000"/>
                <w:sz w:val="24"/>
                <w:szCs w:val="24"/>
              </w:rPr>
              <w:t>к/с __________________________________,</w:t>
            </w:r>
          </w:p>
          <w:p w14:paraId="66FAE06F" w14:textId="77777777" w:rsidR="00503CF3" w:rsidRDefault="005005E3">
            <w:pPr>
              <w:shd w:val="clear" w:color="auto" w:fill="FFFFFF"/>
              <w:tabs>
                <w:tab w:val="left" w:pos="1382"/>
              </w:tabs>
              <w:rPr>
                <w:bCs/>
                <w:color w:val="000000"/>
                <w:sz w:val="24"/>
                <w:szCs w:val="24"/>
              </w:rPr>
            </w:pPr>
            <w:r w:rsidRPr="00EB5F3B">
              <w:rPr>
                <w:color w:val="000000"/>
                <w:sz w:val="24"/>
                <w:szCs w:val="24"/>
              </w:rPr>
              <w:t>БИК _____________________</w:t>
            </w:r>
          </w:p>
        </w:tc>
      </w:tr>
      <w:tr w:rsidR="00503CF3" w14:paraId="6324E5E4" w14:textId="77777777">
        <w:trPr>
          <w:jc w:val="center"/>
        </w:trPr>
        <w:tc>
          <w:tcPr>
            <w:tcW w:w="4793" w:type="dxa"/>
            <w:shd w:val="clear" w:color="auto" w:fill="auto"/>
            <w:vAlign w:val="bottom"/>
          </w:tcPr>
          <w:p w14:paraId="0862AD9F" w14:textId="77777777" w:rsidR="00503CF3" w:rsidRDefault="00503CF3">
            <w:pPr>
              <w:tabs>
                <w:tab w:val="left" w:pos="1382"/>
              </w:tabs>
              <w:snapToGrid w:val="0"/>
              <w:rPr>
                <w:b/>
                <w:bCs/>
                <w:color w:val="000000"/>
                <w:sz w:val="24"/>
                <w:szCs w:val="24"/>
              </w:rPr>
            </w:pPr>
          </w:p>
          <w:p w14:paraId="4CAB58D2" w14:textId="77777777" w:rsidR="00503CF3" w:rsidRDefault="005005E3">
            <w:pPr>
              <w:tabs>
                <w:tab w:val="left" w:pos="1382"/>
              </w:tabs>
              <w:rPr>
                <w:bCs/>
                <w:sz w:val="24"/>
                <w:szCs w:val="24"/>
              </w:rPr>
            </w:pPr>
            <w:r>
              <w:rPr>
                <w:color w:val="000000"/>
                <w:sz w:val="24"/>
                <w:szCs w:val="24"/>
              </w:rPr>
              <w:t xml:space="preserve">Ликвидатор </w:t>
            </w:r>
          </w:p>
          <w:p w14:paraId="647B42A2" w14:textId="77777777" w:rsidR="00503CF3" w:rsidRDefault="00503CF3">
            <w:pPr>
              <w:tabs>
                <w:tab w:val="left" w:pos="1382"/>
              </w:tabs>
              <w:rPr>
                <w:bCs/>
                <w:sz w:val="24"/>
                <w:szCs w:val="24"/>
              </w:rPr>
            </w:pPr>
          </w:p>
          <w:p w14:paraId="67B83297" w14:textId="53CD5013" w:rsidR="00503CF3" w:rsidRDefault="005005E3">
            <w:pPr>
              <w:tabs>
                <w:tab w:val="left" w:pos="1382"/>
              </w:tabs>
            </w:pPr>
            <w:r>
              <w:rPr>
                <w:bCs/>
                <w:sz w:val="24"/>
                <w:szCs w:val="24"/>
              </w:rPr>
              <w:t xml:space="preserve"> </w:t>
            </w:r>
            <w:r>
              <w:rPr>
                <w:bCs/>
                <w:sz w:val="24"/>
                <w:szCs w:val="24"/>
                <w:u w:val="single"/>
              </w:rPr>
              <w:t xml:space="preserve">                                           </w:t>
            </w:r>
            <w:r>
              <w:rPr>
                <w:bCs/>
                <w:sz w:val="24"/>
                <w:szCs w:val="24"/>
              </w:rPr>
              <w:t xml:space="preserve">  </w:t>
            </w:r>
            <w:r w:rsidR="00253BCA">
              <w:rPr>
                <w:bCs/>
                <w:sz w:val="24"/>
                <w:szCs w:val="24"/>
              </w:rPr>
              <w:t>Ахматов Д.А.</w:t>
            </w:r>
          </w:p>
        </w:tc>
        <w:tc>
          <w:tcPr>
            <w:tcW w:w="4956" w:type="dxa"/>
            <w:shd w:val="clear" w:color="auto" w:fill="auto"/>
          </w:tcPr>
          <w:p w14:paraId="2079C0B8" w14:textId="77777777" w:rsidR="00503CF3" w:rsidRDefault="00503CF3">
            <w:pPr>
              <w:tabs>
                <w:tab w:val="left" w:pos="1382"/>
              </w:tabs>
              <w:snapToGrid w:val="0"/>
              <w:jc w:val="both"/>
              <w:rPr>
                <w:bCs/>
                <w:sz w:val="24"/>
                <w:szCs w:val="24"/>
              </w:rPr>
            </w:pPr>
          </w:p>
          <w:p w14:paraId="79E321F7" w14:textId="77777777" w:rsidR="00503CF3" w:rsidRDefault="00503CF3">
            <w:pPr>
              <w:tabs>
                <w:tab w:val="left" w:pos="1382"/>
              </w:tabs>
              <w:jc w:val="both"/>
              <w:rPr>
                <w:bCs/>
                <w:sz w:val="24"/>
                <w:szCs w:val="24"/>
              </w:rPr>
            </w:pPr>
          </w:p>
          <w:p w14:paraId="199AF9BE" w14:textId="77777777" w:rsidR="00503CF3" w:rsidRDefault="00503CF3">
            <w:pPr>
              <w:tabs>
                <w:tab w:val="left" w:pos="1382"/>
              </w:tabs>
              <w:jc w:val="both"/>
              <w:rPr>
                <w:sz w:val="24"/>
                <w:szCs w:val="24"/>
              </w:rPr>
            </w:pPr>
          </w:p>
          <w:p w14:paraId="696BAEFC" w14:textId="77777777" w:rsidR="00503CF3" w:rsidRDefault="005005E3">
            <w:pPr>
              <w:tabs>
                <w:tab w:val="left" w:pos="1382"/>
              </w:tabs>
              <w:jc w:val="both"/>
              <w:rPr>
                <w:sz w:val="24"/>
                <w:szCs w:val="24"/>
              </w:rPr>
            </w:pPr>
            <w:r>
              <w:rPr>
                <w:bCs/>
                <w:color w:val="000000"/>
                <w:sz w:val="24"/>
                <w:szCs w:val="24"/>
              </w:rPr>
              <w:t>___________________ /Ф.И.О./</w:t>
            </w:r>
          </w:p>
        </w:tc>
      </w:tr>
    </w:tbl>
    <w:p w14:paraId="19944EB2" w14:textId="77777777" w:rsidR="00503CF3" w:rsidRDefault="00503CF3"/>
    <w:sectPr w:rsidR="00503CF3">
      <w:pgSz w:w="11906" w:h="16838"/>
      <w:pgMar w:top="899" w:right="1417" w:bottom="719"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F3"/>
    <w:rsid w:val="001300C9"/>
    <w:rsid w:val="0018036A"/>
    <w:rsid w:val="00217E96"/>
    <w:rsid w:val="0023539A"/>
    <w:rsid w:val="00253BCA"/>
    <w:rsid w:val="005005E3"/>
    <w:rsid w:val="00503CF3"/>
    <w:rsid w:val="008319B3"/>
    <w:rsid w:val="00A051D0"/>
    <w:rsid w:val="00BD1C0C"/>
    <w:rsid w:val="00EB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169F"/>
  <w15:docId w15:val="{67F623EF-041F-4D88-93DD-494A0A1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pPr>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ConsPlusNormal">
    <w:name w:val="ConsPlusNormal Знак"/>
    <w:qFormat/>
    <w:rPr>
      <w:rFonts w:ascii="Arial" w:hAnsi="Arial" w:cs="Arial"/>
      <w:lang w:val="ru-RU" w:bidi="ar-SA"/>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0">
    <w:name w:val="ConsPlusNormal"/>
    <w:qFormat/>
    <w:pPr>
      <w:widowControl w:val="0"/>
      <w:autoSpaceDE w:val="0"/>
      <w:ind w:firstLine="720"/>
    </w:pPr>
    <w:rPr>
      <w:rFonts w:ascii="Arial" w:eastAsia="Times New Roman" w:hAnsi="Arial" w:cs="Arial"/>
      <w:sz w:val="20"/>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6">
    <w:name w:val="List Paragraph"/>
    <w:basedOn w:val="a"/>
    <w:qFormat/>
    <w:pPr>
      <w:widowControl/>
      <w:autoSpaceDE/>
      <w:spacing w:after="200" w:line="276" w:lineRule="auto"/>
      <w:ind w:left="720"/>
    </w:pPr>
    <w:rPr>
      <w:rFonts w:ascii="Calibri" w:hAnsi="Calibri" w:cs="Calibri"/>
      <w:sz w:val="22"/>
      <w:szCs w:val="22"/>
    </w:rPr>
  </w:style>
  <w:style w:type="paragraph" w:customStyle="1" w:styleId="a7">
    <w:name w:val="Знак Знак Знак"/>
    <w:basedOn w:val="a"/>
    <w:qFormat/>
    <w:pPr>
      <w:widowControl/>
      <w:autoSpaceDE/>
    </w:pPr>
    <w:rPr>
      <w:rFonts w:ascii="Verdana" w:hAnsi="Verdana" w:cs="Verdana"/>
      <w:lang w:val="en-US"/>
    </w:rPr>
  </w:style>
  <w:style w:type="paragraph" w:customStyle="1" w:styleId="a8">
    <w:name w:val="Знак Знак Знак Знак Знак Знак"/>
    <w:basedOn w:val="a"/>
    <w:qFormat/>
    <w:pPr>
      <w:widowControl/>
      <w:autoSpaceDE/>
    </w:pPr>
    <w:rPr>
      <w:rFonts w:ascii="Verdana" w:hAnsi="Verdana" w:cs="Verdana"/>
      <w:lang w:val="en-US"/>
    </w:rPr>
  </w:style>
  <w:style w:type="paragraph" w:customStyle="1" w:styleId="a9">
    <w:name w:val="Знак Знак Знак Знак Знак Знак Знак"/>
    <w:basedOn w:val="a"/>
    <w:qFormat/>
    <w:pPr>
      <w:widowControl/>
      <w:autoSpaceDE/>
    </w:pPr>
    <w:rPr>
      <w:rFonts w:ascii="Verdana" w:hAnsi="Verdana" w:cs="Verdana"/>
      <w:lang w:val="en-US"/>
    </w:rPr>
  </w:style>
  <w:style w:type="paragraph" w:customStyle="1" w:styleId="aa">
    <w:name w:val="Знак Знак Знак Знак"/>
    <w:basedOn w:val="a"/>
    <w:qFormat/>
    <w:pPr>
      <w:widowControl/>
      <w:autoSpaceDE/>
    </w:pPr>
    <w:rPr>
      <w:rFonts w:ascii="Verdana" w:hAnsi="Verdana" w:cs="Verdana"/>
      <w:lang w:val="en-US"/>
    </w:rPr>
  </w:style>
  <w:style w:type="paragraph" w:styleId="ab">
    <w:name w:val="Balloon Text"/>
    <w:basedOn w:val="a"/>
    <w:qFormat/>
    <w:rPr>
      <w:rFonts w:ascii="Tahoma" w:hAnsi="Tahoma" w:cs="Tahoma"/>
      <w:sz w:val="16"/>
      <w:szCs w:val="16"/>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autoSpaceDE/>
    </w:pPr>
    <w:rPr>
      <w:rFonts w:ascii="Verdana" w:hAnsi="Verdana" w:cs="Verdana"/>
      <w:lang w:val="en-US"/>
    </w:rPr>
  </w:style>
  <w:style w:type="paragraph" w:customStyle="1" w:styleId="ac">
    <w:name w:val="Знак Знак Знак Знак"/>
    <w:basedOn w:val="a"/>
    <w:qFormat/>
    <w:pPr>
      <w:widowControl/>
      <w:autoSpaceDE/>
    </w:pPr>
    <w:rPr>
      <w:rFonts w:ascii="Verdana" w:hAnsi="Verdana" w:cs="Verdana"/>
      <w:lang w:val="en-US"/>
    </w:rPr>
  </w:style>
  <w:style w:type="paragraph" w:customStyle="1" w:styleId="ad">
    <w:name w:val="Знак"/>
    <w:basedOn w:val="a"/>
    <w:qFormat/>
    <w:pPr>
      <w:widowControl/>
      <w:autoSpaceDE/>
    </w:pPr>
    <w:rPr>
      <w:rFonts w:ascii="Verdana" w:hAnsi="Verdana" w:cs="Verdana"/>
      <w:lang w:val="en-US"/>
    </w:rPr>
  </w:style>
  <w:style w:type="paragraph" w:customStyle="1" w:styleId="10">
    <w:name w:val="Знак Знак Знак1 Знак"/>
    <w:basedOn w:val="a"/>
    <w:qFormat/>
    <w:pPr>
      <w:widowControl/>
      <w:autoSpaceDE/>
    </w:pPr>
    <w:rPr>
      <w:rFonts w:ascii="Verdana" w:hAnsi="Verdana" w:cs="Verdana"/>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ДОГОВОР О ЗАДАТКЕ № 30/06-01</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30/06-01</dc:title>
  <dc:subject/>
  <dc:creator>Bazalt-1</dc:creator>
  <cp:keywords/>
  <dc:description/>
  <cp:lastModifiedBy>иван кужилин</cp:lastModifiedBy>
  <cp:revision>10</cp:revision>
  <cp:lastPrinted>2021-06-28T07:33:00Z</cp:lastPrinted>
  <dcterms:created xsi:type="dcterms:W3CDTF">2021-06-28T07:04:00Z</dcterms:created>
  <dcterms:modified xsi:type="dcterms:W3CDTF">2021-07-12T07:16:00Z</dcterms:modified>
  <dc:language>en-US</dc:language>
</cp:coreProperties>
</file>