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«__»______________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4677442F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 xml:space="preserve">», место нахождения: 196191, г. Санкт-Петербург, пл. Конституции, д. 7, оф. </w:t>
      </w:r>
      <w:r w:rsidR="000F7F0D">
        <w:rPr>
          <w:szCs w:val="24"/>
        </w:rPr>
        <w:t>524</w:t>
      </w:r>
      <w:r w:rsidR="00CA6AA2" w:rsidRPr="006438B1">
        <w:rPr>
          <w:szCs w:val="24"/>
        </w:rPr>
        <w:t xml:space="preserve">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1A9280DD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(победитель торгов</w:t>
      </w:r>
      <w:r w:rsidR="00163915">
        <w:rPr>
          <w:bCs/>
          <w:i/>
          <w:szCs w:val="24"/>
        </w:rPr>
        <w:t xml:space="preserve"> - 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(-ый)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 победителя торгов)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CCD8126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EA57AC">
        <w:rPr>
          <w:rFonts w:ascii="Times New Roman" w:hAnsi="Times New Roman"/>
          <w:sz w:val="24"/>
          <w:szCs w:val="24"/>
        </w:rPr>
        <w:t>открытых торгов __.___.202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495). </w:t>
      </w:r>
      <w:r w:rsidR="005D1F43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признан победителем торгов согласно протоколу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37260D1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1B91F68E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CA4EEB">
        <w:rPr>
          <w:rFonts w:ascii="Times New Roman" w:hAnsi="Times New Roman"/>
          <w:sz w:val="24"/>
          <w:szCs w:val="24"/>
        </w:rPr>
        <w:t>автомобиль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10"/>
      <w:headerReference w:type="first" r:id="rId11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49C619DC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652512">
          <w:rPr>
            <w:noProof/>
            <w:sz w:val="20"/>
            <w:szCs w:val="20"/>
          </w:rPr>
          <w:t>1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652512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652512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D1F43"/>
    <w:rsid w:val="00615A13"/>
    <w:rsid w:val="00652512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60020-1E7C-48B7-A4C6-E7D4049DA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98f0-2cb7-493e-a6b0-d4fb386f1b5a"/>
    <ds:schemaRef ds:uri="ffa2446e-11c7-46a9-8531-fb6140f6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D3DB0-B081-4422-928F-7775A89511ED}">
  <ds:schemaRefs>
    <ds:schemaRef ds:uri="e80d98f0-2cb7-493e-a6b0-d4fb386f1b5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ffa2446e-11c7-46a9-8531-fb6140f61c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774EC-8716-4A13-9347-A3366574A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Лебедев Дмитрий Анатольевич</cp:lastModifiedBy>
  <cp:revision>2</cp:revision>
  <cp:lastPrinted>2021-02-01T17:53:00Z</cp:lastPrinted>
  <dcterms:created xsi:type="dcterms:W3CDTF">2021-07-14T14:23:00Z</dcterms:created>
  <dcterms:modified xsi:type="dcterms:W3CDTF">2021-07-14T14:23:00Z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