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183E0F67" w:rsidR="000B5A8F" w:rsidRPr="00D7389A" w:rsidRDefault="000B5A8F" w:rsidP="00BE6F5D">
      <w:pPr>
        <w:ind w:firstLine="720"/>
        <w:jc w:val="both"/>
      </w:pPr>
      <w:r w:rsidRPr="00D7389A">
        <w:t xml:space="preserve">Финансовый управляющий </w:t>
      </w:r>
      <w:r w:rsidR="007425EE"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Pr="00D7389A">
        <w:t xml:space="preserve">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7425EE">
        <w:t>от 23.03.2020г. по делу № А47- 4187/2020</w:t>
      </w:r>
      <w:r w:rsidR="009776A1" w:rsidRPr="009776A1">
        <w:t>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5FF78016"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7425EE">
        <w:t xml:space="preserve">Асонова </w:t>
      </w:r>
      <w:r w:rsidR="007425EE" w:rsidRPr="00777374">
        <w:t>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7425EE">
        <w:t>)</w:t>
      </w:r>
      <w:r w:rsidR="007425EE" w:rsidRPr="00D7389A">
        <w:t xml:space="preserve"> </w:t>
      </w:r>
      <w:r w:rsidR="000B5A8F">
        <w:t xml:space="preserve">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4452CD7C" w14:textId="510ECC21"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3D45BFDF" w14:textId="37A1F620"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29E12AE5"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CE1631">
        <w:rPr>
          <w:b/>
        </w:rPr>
        <w:t>423 107,68</w:t>
      </w:r>
      <w:bookmarkStart w:id="0" w:name="_GoBack"/>
      <w:bookmarkEnd w:id="0"/>
      <w:r w:rsidR="00D002C1">
        <w:rPr>
          <w:b/>
        </w:rPr>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02FE18D9"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BE6F5D">
        <w:t>40817810150002872455</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3F6589DF" w:rsidR="005E6430" w:rsidRPr="00F95D6C" w:rsidRDefault="00CA257C" w:rsidP="00F95D6C">
      <w:pPr>
        <w:pStyle w:val="Style8"/>
        <w:widowControl/>
        <w:tabs>
          <w:tab w:val="left" w:pos="1214"/>
        </w:tabs>
        <w:ind w:firstLine="709"/>
        <w:jc w:val="both"/>
        <w:rPr>
          <w:rStyle w:val="FontStyle27"/>
          <w:sz w:val="24"/>
          <w:szCs w:val="24"/>
        </w:rPr>
      </w:pPr>
      <w:r>
        <w:rPr>
          <w:rStyle w:val="FontStyle27"/>
          <w:sz w:val="24"/>
          <w:szCs w:val="24"/>
        </w:rPr>
        <w:t>3.1.</w:t>
      </w:r>
      <w:r>
        <w:rPr>
          <w:rStyle w:val="FontStyle27"/>
          <w:sz w:val="24"/>
          <w:szCs w:val="24"/>
        </w:rPr>
        <w:tab/>
        <w:t>В течение 10</w:t>
      </w:r>
      <w:r w:rsidR="00D21C92">
        <w:rPr>
          <w:rStyle w:val="FontStyle27"/>
          <w:sz w:val="24"/>
          <w:szCs w:val="24"/>
        </w:rPr>
        <w:t xml:space="preserve"> рабочих</w:t>
      </w:r>
      <w:r w:rsidR="005E6430" w:rsidRPr="00F95D6C">
        <w:rPr>
          <w:rStyle w:val="FontStyle27"/>
          <w:sz w:val="24"/>
          <w:szCs w:val="24"/>
        </w:rPr>
        <w:t xml:space="preserve"> дней после оплаты имущества</w:t>
      </w:r>
      <w:r w:rsidR="005E6430">
        <w:rPr>
          <w:rStyle w:val="FontStyle27"/>
          <w:sz w:val="24"/>
          <w:szCs w:val="24"/>
        </w:rPr>
        <w:t xml:space="preserve"> Лота № </w:t>
      </w:r>
      <w:r w:rsidR="00AF4271">
        <w:rPr>
          <w:rStyle w:val="FontStyle27"/>
          <w:sz w:val="24"/>
          <w:szCs w:val="24"/>
        </w:rPr>
        <w:t>1</w:t>
      </w:r>
      <w:r w:rsidR="005E6430">
        <w:rPr>
          <w:rStyle w:val="FontStyle27"/>
          <w:sz w:val="24"/>
          <w:szCs w:val="24"/>
        </w:rPr>
        <w:t xml:space="preserve">, Продавец обязан передать </w:t>
      </w:r>
      <w:r w:rsidR="005E6430" w:rsidRPr="00F95D6C">
        <w:rPr>
          <w:rStyle w:val="FontStyle27"/>
          <w:sz w:val="24"/>
          <w:szCs w:val="24"/>
        </w:rPr>
        <w:t>имущество</w:t>
      </w:r>
      <w:r w:rsidR="005E6430">
        <w:rPr>
          <w:rStyle w:val="FontStyle27"/>
          <w:sz w:val="24"/>
          <w:szCs w:val="24"/>
        </w:rPr>
        <w:t xml:space="preserve"> </w:t>
      </w:r>
      <w:r w:rsidR="005E6430"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663C4A23" w14:textId="77777777" w:rsidR="00BE6F5D" w:rsidRDefault="000B5A8F" w:rsidP="000B5A8F">
            <w:pPr>
              <w:pStyle w:val="western"/>
              <w:spacing w:after="0" w:afterAutospacing="0"/>
              <w:jc w:val="both"/>
            </w:pPr>
            <w:r>
              <w:rPr>
                <w:b/>
                <w:bCs/>
                <w:sz w:val="22"/>
                <w:szCs w:val="22"/>
              </w:rPr>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w:t>
            </w:r>
          </w:p>
          <w:p w14:paraId="2775F534" w14:textId="31F50498"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5B14BA12" w:rsidR="000B5A8F" w:rsidRPr="0095024E" w:rsidRDefault="000B5A8F" w:rsidP="000B5A8F">
            <w:pPr>
              <w:pStyle w:val="a8"/>
              <w:ind w:firstLine="562"/>
              <w:jc w:val="both"/>
            </w:pPr>
            <w:r w:rsidRPr="0095024E">
              <w:rPr>
                <w:color w:val="000000"/>
              </w:rPr>
              <w:t xml:space="preserve">р/сч  </w:t>
            </w:r>
            <w:r w:rsidRPr="0095024E">
              <w:t xml:space="preserve">№ </w:t>
            </w:r>
            <w:r w:rsidR="00BE6F5D">
              <w:t>40817810150002872455</w:t>
            </w:r>
            <w:r w:rsidR="00241323">
              <w:t xml:space="preserve">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45D0559B" w14:textId="77777777" w:rsidR="005E6430" w:rsidRDefault="005E6430" w:rsidP="004D3AD3">
      <w:pPr>
        <w:pStyle w:val="Style23"/>
        <w:widowControl/>
        <w:spacing w:line="240" w:lineRule="exact"/>
        <w:jc w:val="both"/>
        <w:rPr>
          <w:rStyle w:val="FontStyle37"/>
        </w:rPr>
      </w:pPr>
    </w:p>
    <w:p w14:paraId="1C6F961F" w14:textId="77777777" w:rsidR="00312158" w:rsidRDefault="00312158" w:rsidP="00BE6F5D">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1A8270A4"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BE6F5D" w:rsidRPr="00777374">
        <w:t>Асонова Владимира Сергеевича (дата рождения: 19.12.1985, место рождения: г. Бугуруслан Оренбургской области, ИНН 560206367357; место регистрации: Оренбургская область г.Бугуруслан</w:t>
      </w:r>
      <w:r w:rsidR="00BE6F5D">
        <w:t>)</w:t>
      </w:r>
      <w:r w:rsidR="00BE6F5D" w:rsidRPr="00D7389A">
        <w:t xml:space="preserve"> Золотарь Алексей Геннадьевич, член ААУ «СЦЭАУ» (ИНН 5406245522, ОГРН 1035402470036, 630091, г. Новосибирск, ул. Писарева, д. 4)), д</w:t>
      </w:r>
      <w:r w:rsidR="00BE6F5D">
        <w:t>ействующего на основании решени</w:t>
      </w:r>
      <w:r w:rsidR="00BE6F5D" w:rsidRPr="00D7389A">
        <w:t xml:space="preserve">я Арбитражного суда Оренбургской области </w:t>
      </w:r>
      <w:r w:rsidR="00BE6F5D">
        <w:t>от 23.03.2020г. по делу № А47- 4187/2020</w:t>
      </w:r>
      <w:r w:rsidR="00BE6F5D" w:rsidRPr="009776A1">
        <w:t> </w:t>
      </w:r>
      <w:r w:rsidR="00BE6F5D" w:rsidRPr="00D7389A">
        <w:t xml:space="preserve">г.,  </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02E2F125" w14:textId="77777777" w:rsidR="00BE6F5D" w:rsidRDefault="00BE6F5D" w:rsidP="00BE6F5D">
      <w:pPr>
        <w:jc w:val="both"/>
      </w:pPr>
      <w:r>
        <w:t xml:space="preserve">- </w:t>
      </w:r>
      <w:r w:rsidRPr="00BE6F5D">
        <w:t>здание, назначение: жилой дом, 1-этажный,</w:t>
      </w:r>
      <w:r>
        <w:t xml:space="preserve"> </w:t>
      </w:r>
      <w:r w:rsidRPr="00BE6F5D">
        <w:t>площадью 49,3 кв.м., расположенный по адресу: Оренбургская область,</w:t>
      </w:r>
      <w:r>
        <w:t xml:space="preserve"> </w:t>
      </w:r>
      <w:r w:rsidRPr="00BE6F5D">
        <w:t>г.Оренбург, ул. Ижевская, д. 38. Кадастровый номер: 56:44:0311001:408;</w:t>
      </w:r>
    </w:p>
    <w:p w14:paraId="5749D090" w14:textId="77777777" w:rsidR="00BE6F5D" w:rsidRDefault="00BE6F5D" w:rsidP="00BE6F5D">
      <w:pPr>
        <w:jc w:val="both"/>
      </w:pPr>
      <w:r w:rsidRPr="00BE6F5D">
        <w:t>-земельный участок, категория земель: земли населенных пунктов, разрешенное использование: земельный участок предназначен для размещения домов малоэтажной жилой застройки, площадь: 200+/- 5 кв.м., адрес: Оренбургская область, г. Оренбург, ул. Ижевская, на</w:t>
      </w:r>
      <w:r>
        <w:t xml:space="preserve"> </w:t>
      </w:r>
      <w:r w:rsidRPr="00BE6F5D">
        <w:t>земельной участке расположен индивидуальный жилой дом № 38, кадастровый</w:t>
      </w:r>
      <w:r>
        <w:t xml:space="preserve"> </w:t>
      </w:r>
      <w:r w:rsidRPr="00BE6F5D">
        <w:t>номер: 56:44:0311004:56</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E0EF7"/>
    <w:rsid w:val="003E3A1A"/>
    <w:rsid w:val="00410A9D"/>
    <w:rsid w:val="00447D87"/>
    <w:rsid w:val="00454D59"/>
    <w:rsid w:val="00494860"/>
    <w:rsid w:val="0049657F"/>
    <w:rsid w:val="004D3AD3"/>
    <w:rsid w:val="005E6430"/>
    <w:rsid w:val="006D148D"/>
    <w:rsid w:val="00720607"/>
    <w:rsid w:val="007425EE"/>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B0503"/>
    <w:rsid w:val="00BE6F5D"/>
    <w:rsid w:val="00BF0421"/>
    <w:rsid w:val="00C9553A"/>
    <w:rsid w:val="00CA257C"/>
    <w:rsid w:val="00CB259C"/>
    <w:rsid w:val="00CC6E2B"/>
    <w:rsid w:val="00CE1631"/>
    <w:rsid w:val="00D002C1"/>
    <w:rsid w:val="00D15824"/>
    <w:rsid w:val="00D21C92"/>
    <w:rsid w:val="00D44D4C"/>
    <w:rsid w:val="00D50EEB"/>
    <w:rsid w:val="00D5754C"/>
    <w:rsid w:val="00DB2A38"/>
    <w:rsid w:val="00E25CBF"/>
    <w:rsid w:val="00E656EA"/>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6F5D"/>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103619650">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30463051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1567</Words>
  <Characters>8932</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8</cp:revision>
  <dcterms:created xsi:type="dcterms:W3CDTF">2019-08-29T03:05:00Z</dcterms:created>
  <dcterms:modified xsi:type="dcterms:W3CDTF">2021-07-19T03:49:00Z</dcterms:modified>
</cp:coreProperties>
</file>