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2407B17F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___________________</w:t>
      </w:r>
      <w:r w:rsidR="0005021E">
        <w:rPr>
          <w:b/>
          <w:kern w:val="28"/>
        </w:rPr>
        <w:t xml:space="preserve">_________ две тысячи двадцать первого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3C506BDB" w:rsidR="008524A5" w:rsidRPr="008524A5" w:rsidRDefault="00CE5ACB" w:rsidP="008524A5">
      <w:pPr>
        <w:spacing w:before="240"/>
        <w:ind w:firstLine="567"/>
        <w:jc w:val="both"/>
      </w:pPr>
      <w:r w:rsidRPr="00CE5ACB">
        <w:rPr>
          <w:b/>
        </w:rPr>
        <w:t xml:space="preserve">ОАО «ИБС Капитал» </w:t>
      </w:r>
      <w:r w:rsidRPr="00CE5ACB">
        <w:t>(ОГР</w:t>
      </w:r>
      <w:r>
        <w:t>Н 1027806859420, ИНН 7813048072</w:t>
      </w:r>
      <w:r w:rsidRPr="00CE5ACB">
        <w:t>, 195269, г. Санкт-Петербург, ул. Учительская, д. 23, лит. А</w:t>
      </w:r>
      <w:r w:rsidR="0005021E" w:rsidRPr="00CE5ACB">
        <w:t>)</w:t>
      </w:r>
      <w:r w:rsidR="0005021E" w:rsidRPr="0005021E">
        <w:t xml:space="preserve"> </w:t>
      </w:r>
      <w:r w:rsidR="00894C2D">
        <w:t xml:space="preserve">в лице конкурсного управляющего </w:t>
      </w:r>
      <w:proofErr w:type="spellStart"/>
      <w:r>
        <w:t>Овчинниковой</w:t>
      </w:r>
      <w:proofErr w:type="spellEnd"/>
      <w:r>
        <w:t xml:space="preserve"> Анны Владимировны</w:t>
      </w:r>
      <w:r w:rsidRPr="00CE5ACB">
        <w:t xml:space="preserve"> (ИНН 470304023862, СНИЛС 06514686876</w:t>
      </w:r>
      <w:r w:rsidR="00894C2D" w:rsidRPr="00894C2D">
        <w:t xml:space="preserve">), действующий на основании решения Арбитражного суда города Санкт-Петербурга и Ленинградской области </w:t>
      </w:r>
      <w:r w:rsidRPr="00CE5ACB">
        <w:t>02.05.2018 г. по делу №А56-51738/2017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3CE988ED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 xml:space="preserve">обязуется принять и оплатить в соответствии с условиями настоящего Договора следующие объекты </w:t>
      </w:r>
      <w:bookmarkStart w:id="0" w:name="_GoBack"/>
      <w:bookmarkEnd w:id="0"/>
      <w:r w:rsidRPr="008524A5">
        <w:rPr>
          <w:rFonts w:ascii="Times New Roman" w:hAnsi="Times New Roman" w:cs="Times New Roman"/>
          <w:sz w:val="20"/>
          <w:szCs w:val="20"/>
        </w:rPr>
        <w:t>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751B8C7D" w:rsidR="008524A5" w:rsidRPr="008524A5" w:rsidRDefault="008524A5" w:rsidP="00F665F0">
      <w:pPr>
        <w:ind w:firstLine="567"/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CE5ACB" w:rsidRPr="00CE5ACB">
        <w:rPr>
          <w:b/>
        </w:rPr>
        <w:t>ОАО «ИБС Капитал»</w:t>
      </w:r>
      <w:r w:rsidRPr="008524A5">
        <w:rPr>
          <w:bCs/>
        </w:rPr>
        <w:t xml:space="preserve">, осуществляемой на основании </w:t>
      </w:r>
      <w:r w:rsidR="0096571F">
        <w:rPr>
          <w:sz w:val="21"/>
          <w:szCs w:val="21"/>
        </w:rPr>
        <w:t>решения</w:t>
      </w:r>
      <w:r w:rsidR="0096571F">
        <w:rPr>
          <w:color w:val="000000"/>
          <w:sz w:val="21"/>
          <w:szCs w:val="21"/>
        </w:rPr>
        <w:t xml:space="preserve"> </w:t>
      </w:r>
      <w:r w:rsidR="00BC166F" w:rsidRPr="00BC166F">
        <w:rPr>
          <w:color w:val="000000"/>
          <w:sz w:val="21"/>
          <w:szCs w:val="21"/>
        </w:rPr>
        <w:t xml:space="preserve">Арбитражного суда города Санкт-Петербурга и Ленинградской области </w:t>
      </w:r>
      <w:r w:rsidR="00894C2D" w:rsidRPr="00894C2D">
        <w:t xml:space="preserve">от </w:t>
      </w:r>
      <w:r w:rsidR="00CE5ACB" w:rsidRPr="00CE5ACB">
        <w:t>02.05.2018 г. по делу №А56-51738/2017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CE5ACB" w:rsidRPr="00CE5ACB">
        <w:rPr>
          <w:b/>
        </w:rPr>
        <w:t>ОАО «ИБС Капитал»</w:t>
      </w:r>
      <w:r w:rsidR="0005021E">
        <w:rPr>
          <w:b/>
          <w:sz w:val="21"/>
          <w:szCs w:val="21"/>
        </w:rPr>
        <w:t>,</w:t>
      </w:r>
      <w:r w:rsidR="0096571F">
        <w:rPr>
          <w:b/>
          <w:sz w:val="21"/>
          <w:szCs w:val="21"/>
        </w:rPr>
        <w:t xml:space="preserve"> </w:t>
      </w:r>
      <w:r w:rsidRPr="008524A5">
        <w:t xml:space="preserve">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5FE1CD91" w14:textId="2C8935B6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Перечисляя стоимость ИМУЩЕСТВА на счет Продавца, Покупатель подтверждает отсутствие претензий к Продавцу и несет всю ответственность за приобретенное ИМУЩЕСТВО.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7869944F" w14:textId="77777777" w:rsidR="008524A5" w:rsidRPr="008524A5" w:rsidRDefault="008524A5" w:rsidP="008524A5">
      <w:pPr>
        <w:numPr>
          <w:ilvl w:val="1"/>
          <w:numId w:val="8"/>
        </w:numPr>
        <w:spacing w:line="240" w:lineRule="atLeast"/>
        <w:ind w:left="0" w:firstLine="567"/>
        <w:jc w:val="both"/>
      </w:pPr>
      <w:r w:rsidRPr="008524A5">
        <w:t xml:space="preserve">Риск случайной гибели или </w:t>
      </w:r>
      <w:r w:rsidRPr="008524A5">
        <w:rPr>
          <w:kern w:val="28"/>
        </w:rPr>
        <w:t>случайного повреждения</w:t>
      </w:r>
      <w:r w:rsidRPr="008524A5">
        <w:t xml:space="preserve"> ИМУЩЕСТВА переходит </w:t>
      </w:r>
      <w:r w:rsidRPr="008524A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</w:t>
      </w:r>
      <w:r w:rsidRPr="008524A5">
        <w:rPr>
          <w:kern w:val="28"/>
        </w:rPr>
        <w:lastRenderedPageBreak/>
        <w:t xml:space="preserve">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643DF594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CE5ACB" w:rsidRPr="00CE5ACB">
        <w:rPr>
          <w:b/>
        </w:rPr>
        <w:t>ОАО «ИБС Капитал»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2344D8B9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6.2. Подписанием настоящего договора Покупатель подтверждает отсутствие у Покупателя </w:t>
      </w:r>
      <w:r w:rsidR="00F665F0">
        <w:rPr>
          <w:kern w:val="28"/>
        </w:rPr>
        <w:t>к приобретаемому</w:t>
      </w:r>
      <w:r w:rsidRPr="008524A5">
        <w:rPr>
          <w:kern w:val="28"/>
        </w:rPr>
        <w:t xml:space="preserve"> ИМУЩЕСТВ</w:t>
      </w:r>
      <w:r w:rsidR="00F665F0">
        <w:rPr>
          <w:kern w:val="28"/>
        </w:rPr>
        <w:t>У</w:t>
      </w:r>
      <w:r w:rsidRPr="008524A5">
        <w:rPr>
          <w:kern w:val="28"/>
        </w:rPr>
        <w:t>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F665F0">
        <w:tc>
          <w:tcPr>
            <w:tcW w:w="4604" w:type="dxa"/>
          </w:tcPr>
          <w:p w14:paraId="4DEE410D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F665F0">
        <w:tc>
          <w:tcPr>
            <w:tcW w:w="4604" w:type="dxa"/>
          </w:tcPr>
          <w:p w14:paraId="53C4724E" w14:textId="2E0E1C2A" w:rsidR="008524A5" w:rsidRPr="008524A5" w:rsidRDefault="00CE5ACB" w:rsidP="008524A5">
            <w:pPr>
              <w:rPr>
                <w:rFonts w:ascii="Times New Roman" w:hAnsi="Times New Roman"/>
              </w:rPr>
            </w:pPr>
            <w:r w:rsidRPr="00CE5ACB">
              <w:rPr>
                <w:rFonts w:ascii="Times New Roman" w:hAnsi="Times New Roman"/>
                <w:b/>
              </w:rPr>
              <w:t xml:space="preserve">ОАО «ИБС Капитал» (ОГРН 1027806859420, ИНН 7813048072, 195269, г. Санкт-Петербург, ул. Учительская, д. 23, лит. А) в лице конкурсного управляющего </w:t>
            </w:r>
            <w:proofErr w:type="spellStart"/>
            <w:r w:rsidRPr="00CE5ACB">
              <w:rPr>
                <w:rFonts w:ascii="Times New Roman" w:hAnsi="Times New Roman"/>
                <w:b/>
              </w:rPr>
              <w:t>Овчинниковой</w:t>
            </w:r>
            <w:proofErr w:type="spellEnd"/>
            <w:r w:rsidRPr="00CE5ACB">
              <w:rPr>
                <w:rFonts w:ascii="Times New Roman" w:hAnsi="Times New Roman"/>
                <w:b/>
              </w:rPr>
              <w:t xml:space="preserve"> Анны Владимировны (ИНН 470304023862, СНИЛС 06514686876), действующий на основании решения Арбитражного суда города Санкт-Петербурга и Ленинградской области 02.05.2018 г. по делу №А56-51738/2017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20D9FD11" w14:textId="4BB98D10" w:rsidR="008524A5" w:rsidRPr="008524A5" w:rsidRDefault="0096571F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6571F">
              <w:rPr>
                <w:rFonts w:ascii="Times New Roman" w:hAnsi="Times New Roman"/>
                <w:b/>
              </w:rPr>
              <w:t>Конкурсный управляющий</w:t>
            </w:r>
            <w:r w:rsidR="008524A5" w:rsidRPr="008524A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E5ACB">
              <w:rPr>
                <w:rFonts w:ascii="Times New Roman" w:hAnsi="Times New Roman"/>
                <w:b/>
              </w:rPr>
              <w:t>Овчинникова</w:t>
            </w:r>
            <w:proofErr w:type="spellEnd"/>
            <w:r w:rsidR="00CE5ACB">
              <w:rPr>
                <w:rFonts w:ascii="Times New Roman" w:hAnsi="Times New Roman"/>
                <w:b/>
              </w:rPr>
              <w:t xml:space="preserve"> Анна Владимировна</w:t>
            </w:r>
            <w:r w:rsidR="00CE5ACB" w:rsidRPr="008524A5">
              <w:rPr>
                <w:rFonts w:ascii="Times New Roman" w:hAnsi="Times New Roman"/>
                <w:b/>
              </w:rPr>
              <w:t xml:space="preserve"> </w:t>
            </w:r>
          </w:p>
          <w:p w14:paraId="65CE2B7F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EAB04" w14:textId="77777777" w:rsidR="00FF56E5" w:rsidRDefault="00FF56E5">
      <w:r>
        <w:separator/>
      </w:r>
    </w:p>
  </w:endnote>
  <w:endnote w:type="continuationSeparator" w:id="0">
    <w:p w14:paraId="69DB3D21" w14:textId="77777777" w:rsidR="00FF56E5" w:rsidRDefault="00FF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76B82" w14:textId="77777777" w:rsidR="00FF56E5" w:rsidRDefault="00FF56E5">
      <w:r>
        <w:separator/>
      </w:r>
    </w:p>
  </w:footnote>
  <w:footnote w:type="continuationSeparator" w:id="0">
    <w:p w14:paraId="70C5ECF3" w14:textId="77777777" w:rsidR="00FF56E5" w:rsidRDefault="00FF5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F665F0" w:rsidRDefault="00F665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F665F0" w:rsidRDefault="00F66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629DDC69" w:rsidR="00F665F0" w:rsidRDefault="00F665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ACB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F665F0" w:rsidRDefault="00F665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F665F0" w:rsidRPr="00196561" w:rsidRDefault="00FF56E5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F665F0" w:rsidRPr="00196561">
      <w:rPr>
        <w:b/>
        <w:color w:val="FF0000"/>
      </w:rPr>
      <w:t>ДАННЫЙ ДОГОВОР КУПЛИ-ПРОДАЖИ ИМУЩЕСТВА</w:t>
    </w:r>
    <w:r w:rsidR="00F665F0">
      <w:rPr>
        <w:b/>
        <w:color w:val="FF0000"/>
      </w:rPr>
      <w:t xml:space="preserve"> </w:t>
    </w:r>
    <w:r w:rsidR="00F665F0" w:rsidRPr="00196561">
      <w:rPr>
        <w:b/>
        <w:color w:val="FF0000"/>
      </w:rPr>
      <w:t>ЯВЛЯЕТСЯ ПРОЕКТОМ</w:t>
    </w:r>
  </w:p>
  <w:p w14:paraId="6A6F1E2D" w14:textId="77777777" w:rsidR="00F665F0" w:rsidRPr="00196561" w:rsidRDefault="00F665F0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F665F0" w:rsidRDefault="00F66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021E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327CF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0E82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4533"/>
    <w:rsid w:val="006B7283"/>
    <w:rsid w:val="006C4EAC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4C2D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3561C"/>
    <w:rsid w:val="00946D06"/>
    <w:rsid w:val="00953BA2"/>
    <w:rsid w:val="009616F1"/>
    <w:rsid w:val="0096571F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C166F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E5ACB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3F5A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665F0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56E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0303-C751-4011-A002-136A1337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8</cp:revision>
  <cp:lastPrinted>2017-10-27T08:13:00Z</cp:lastPrinted>
  <dcterms:created xsi:type="dcterms:W3CDTF">2021-01-18T17:59:00Z</dcterms:created>
  <dcterms:modified xsi:type="dcterms:W3CDTF">2021-07-27T10:19:00Z</dcterms:modified>
</cp:coreProperties>
</file>