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8A" w:rsidRPr="00090875" w:rsidRDefault="0059758A" w:rsidP="005975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:rsidR="0059758A" w:rsidRPr="00090875" w:rsidRDefault="0059758A" w:rsidP="005975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</w:t>
      </w:r>
    </w:p>
    <w:p w:rsidR="0059758A" w:rsidRPr="00090875" w:rsidRDefault="0059758A" w:rsidP="005975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tabs>
          <w:tab w:val="left" w:pos="7371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          </w:t>
      </w:r>
      <w:r w:rsidR="00277AB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="00277ABF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="00277ABF">
        <w:rPr>
          <w:rFonts w:ascii="Times New Roman" w:hAnsi="Times New Roman" w:cs="Times New Roman"/>
          <w:sz w:val="22"/>
          <w:szCs w:val="22"/>
          <w:lang w:val="ru-RU"/>
        </w:rPr>
        <w:t>____» _______________ 2021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«МАГГИС-ТРЕЙД»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(121059, г. Москва, ул. Бородинская 1-я, 2А, пом.1, комн.1, ИНН 7730143808, КПП 773001001, ОГРН 1027739851700), именуемое в дальнейшем «Продавец», в лице конкурсного управляющего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Воронина Дмитрия Вадимовича, действующего на основании Решения Арбитражного суда города Москвы от 19.07.2017 г. по делу №</w:t>
      </w:r>
      <w:r w:rsidRPr="00090875">
        <w:rPr>
          <w:rFonts w:ascii="Times New Roman" w:hAnsi="Times New Roman" w:cs="Times New Roman"/>
          <w:lang w:val="ru-RU"/>
        </w:rPr>
        <w:t xml:space="preserve">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А40-137906/16-88 (4-154 «Б»), с одной стороны, и __________________________________________, именуемый в дальнейшем «Покупатель», в лице ___________, действующего на основании _________, с другой стороны, </w:t>
      </w:r>
    </w:p>
    <w:p w:rsidR="0059758A" w:rsidRPr="00090875" w:rsidRDefault="0059758A" w:rsidP="0059758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совместно именуемые «Стороны», заключили настоящий Договор о нижеследующем.</w:t>
      </w:r>
    </w:p>
    <w:p w:rsidR="0059758A" w:rsidRPr="00090875" w:rsidRDefault="0059758A" w:rsidP="0059758A">
      <w:pPr>
        <w:ind w:firstLine="708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Настоящий договор заключен по результатам торг</w:t>
      </w:r>
      <w:r w:rsidR="00277ABF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ов, проведенных «__» _______ 202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_ г. Организатором торгов – </w:t>
      </w:r>
      <w:r w:rsidRPr="0009087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АО «Российский аукционный дом».</w:t>
      </w:r>
    </w:p>
    <w:p w:rsidR="0059758A" w:rsidRPr="00090875" w:rsidRDefault="0059758A" w:rsidP="0059758A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Сообщение о проведении торгов по продаже имущест</w:t>
      </w:r>
      <w:r w:rsidR="00277ABF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ва опубликовано «__» _______ 202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_ г. в газете «Коммерсантъ» № ___ (___ с момента возобновления издания), сообщение № </w:t>
      </w:r>
      <w:r w:rsidRPr="0009087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___________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:rsidR="0059758A" w:rsidRPr="00090875" w:rsidRDefault="0059758A" w:rsidP="0059758A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Протокол о результатах проведения торгов № __ от «__» _______ 20</w:t>
      </w:r>
      <w:r w:rsidR="00277ABF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 г.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tabs>
          <w:tab w:val="num" w:pos="426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основании Протокола о результатах проведения</w:t>
      </w:r>
      <w:r w:rsidR="00277AB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торгов № __ от «__» _______ 202</w:t>
      </w:r>
      <w:bookmarkStart w:id="0" w:name="_GoBack"/>
      <w:bookmarkEnd w:id="0"/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 г.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оплатить и принять в соответствии с условиями настоящего договора следующее имущество: 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1.1.1.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пирс, общей площадью 2682 (две тысячи шестьсот восемьдесят два)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27:215:002:000076990, Литер I, кадастровый номер: 39:05:000000:1761, расположенный по адресу: Россия, Калининградская область, Зеленоградский район, пос. Рыбачий, ул. Набережная;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1.1.2.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15/100 (пятнадцать сотых) долей в общей долевой собственности на земельный участок, категория земель: земли населенных пунктов – для обеспечения хозяйственной деятельности, общей площадью 56400 (пятьдесят шесть тысяч четыреста)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., кадастровый номер 39:05:00 00 00:0224, находящийся по адресу: Россия, Калининградская область, Зеленоградский район,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Куршское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с/п, пос. Рыбачий;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1.1.3.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20/100 (двадцать сотых) долей в общей долевой собственности на земельный участок, категория земель: земли населенных пунктов – для обеспечения хозяйственной деятельности, общей площадью 56400 (пятьдесят шесть тысяч четыреста)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., кадастровый номер 39:05:00 00 00:0224, находящийся по адресу: Россия, Калининградская область, Зеленоградский район,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Куршское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с/п, пос. Рыбачий;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1.1.4.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35/100 (тридцать пять сотых) долей в общей долевой собственности на земельный участок, категория земель: земли населенных пунктов – для обеспечения хозяйственной деятельности, общей площадью 56400 (пятьдесят шесть тысяч четыреста)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., кадастровый номер 39:05:00 00 00:0224, находящийся по адресу: Россия, Калининградская область, Зеленоградский район,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Куршское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с/п, пос. Рыбачий;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1.1.5.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нежилое здание, общей площадью 372 (триста семьдесят два)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1-445, Литер А, этажность 1, подземная этажность: 0, расположенное по адресу: Калининградская область, Зеленоградский район, пос. Рыбачий, ул. Набережная, дом №9, кадастровый номер: 39:05:020202:49;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1.1.6.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склад №6, общей площадью 153,6 (сто пятьдесят три целых шесть десятых)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2-1445, Литер А, этажность:1, подземная этажность:0, расположенный по адресу: Калининградская область, Зеленоградский район, пос. Рыбачий, ул. Набережная, дом №7, кадастровый номер: 39:05:020202:48;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1.1.7.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нежилое здание – склад, общей площадью 501,3 (пятьсот один целых три десятых)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2-1444, Литер Б, расположенное по адресу: Калининградская область, Зеленоградский район, пос. Рыбачий, ул. Набережная, кадастровый номер 39:05:020201:39;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1.1.8.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нежилое здание – цех вяления, общей площадью 3345,5 (три тысячи триста сорок пять целых пять десятых)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2-1441, расположенное по адресу: Калининградская область, Зеленоградский район, пос. Рыбачий, кадастровый номер 39:05:020201:50.</w:t>
      </w:r>
    </w:p>
    <w:p w:rsidR="0059758A" w:rsidRPr="00090875" w:rsidRDefault="0059758A" w:rsidP="0059758A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под п. 1.1.1, 1.1.3, 1.1.4, 1.1.5, 1.1.6 настоящего Договора находится в залоге в пользу АКБ «</w:t>
      </w:r>
      <w:proofErr w:type="spell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Инвестбанк</w:t>
      </w:r>
      <w:proofErr w:type="spellEnd"/>
      <w:r w:rsidRPr="00090875">
        <w:rPr>
          <w:rFonts w:ascii="Times New Roman" w:hAnsi="Times New Roman" w:cs="Times New Roman"/>
          <w:sz w:val="22"/>
          <w:szCs w:val="22"/>
          <w:lang w:val="ru-RU"/>
        </w:rPr>
        <w:t>» (ОАО) в лице представителя конкурсного управляющего – ГК «Агентство по страхованию вкладов».</w:t>
      </w:r>
    </w:p>
    <w:p w:rsidR="0059758A" w:rsidRPr="00090875" w:rsidRDefault="0059758A" w:rsidP="0059758A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под п. 1.1.2, 1.1.7, 1.1.8 принадлежит Продавцу на праве собственности.</w:t>
      </w:r>
    </w:p>
    <w:p w:rsidR="005926BB" w:rsidRPr="005926BB" w:rsidRDefault="0059758A" w:rsidP="005926BB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Обременение на имущество, находящееся в залоге у АКБ «</w:t>
      </w:r>
      <w:proofErr w:type="spell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Инвестбанк</w:t>
      </w:r>
      <w:proofErr w:type="spellEnd"/>
      <w:r w:rsidRPr="00090875">
        <w:rPr>
          <w:rFonts w:ascii="Times New Roman" w:hAnsi="Times New Roman" w:cs="Times New Roman"/>
          <w:sz w:val="22"/>
          <w:szCs w:val="22"/>
          <w:lang w:val="ru-RU"/>
        </w:rPr>
        <w:t>» (ОАО) прекращается при реализации находящегося в залоге имущества, поскольку согласно разъяснениям, данным Пленумом Высшего Арбитражного Суда Российской Федерации в пункте 12 Постановления от 23.07.2009 г. №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59758A" w:rsidRPr="00090875" w:rsidRDefault="0059758A" w:rsidP="0059758A">
      <w:pPr>
        <w:numPr>
          <w:ilvl w:val="0"/>
          <w:numId w:val="1"/>
        </w:numPr>
        <w:tabs>
          <w:tab w:val="num" w:pos="426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Сумма Договора и порядок расчетов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Стоимость имущества, передаваемого по настоящему договору, определена по итогам продажи на открытых торгах и составляет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рублей. Покупателем для участия в открытых торгах на специальный банковский счет для перечисления задатков внесен задаток в размере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рублей, который засчитывается в счет частичной оплаты за имущество. </w:t>
      </w: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Оплата оставшейся денежной суммы в размере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рублей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производится Покупателем в рублях РФ в течение 30 (Тридцати) дней с даты заключения настоящего договора, путем перечисления денежных средств на счета Продавца, указанные в разделе 8 настоящего Договора:</w:t>
      </w:r>
    </w:p>
    <w:p w:rsidR="0059758A" w:rsidRPr="00090875" w:rsidRDefault="0059758A" w:rsidP="0059758A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В размере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рублей в отношении обремененного залогом имущества (указанное в п. 1.2. настоящего Договора) на специальный </w:t>
      </w:r>
      <w:r w:rsidRPr="00090875">
        <w:rPr>
          <w:rFonts w:ascii="Times New Roman" w:hAnsi="Times New Roman" w:cs="Times New Roman"/>
          <w:bCs/>
          <w:sz w:val="22"/>
          <w:szCs w:val="22"/>
          <w:lang w:val="ru-RU"/>
        </w:rPr>
        <w:t>банковский счет для осуществления расчетов, связанных c удовлетворением требований кредиторов за счет денежных средств, вырученных от реализации предмета залога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9758A" w:rsidRPr="00090875" w:rsidRDefault="0059758A" w:rsidP="0059758A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В размере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рублей в отношении имущества, необремененного залогом (указанное в п. 1.3. настоящего Договора) на основной счет Продавца.</w:t>
      </w: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расчетные счета Продавца в полном объеме.</w:t>
      </w: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несет все расходы, </w:t>
      </w:r>
      <w:r w:rsidR="007534CB">
        <w:rPr>
          <w:rFonts w:ascii="Times New Roman" w:hAnsi="Times New Roman" w:cs="Times New Roman"/>
          <w:sz w:val="22"/>
          <w:szCs w:val="22"/>
          <w:lang w:val="ru-RU"/>
        </w:rPr>
        <w:t xml:space="preserve">связанные с </w:t>
      </w:r>
      <w:r w:rsidR="00A77653">
        <w:rPr>
          <w:rFonts w:ascii="Times New Roman" w:hAnsi="Times New Roman" w:cs="Times New Roman"/>
          <w:sz w:val="22"/>
          <w:szCs w:val="22"/>
          <w:lang w:val="ru-RU"/>
        </w:rPr>
        <w:t>обязательным нотариальным удостоверением настоящего договора</w:t>
      </w:r>
      <w:r w:rsidR="007534C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7534CB">
        <w:rPr>
          <w:rFonts w:ascii="Times New Roman" w:hAnsi="Times New Roman" w:cs="Times New Roman"/>
          <w:sz w:val="22"/>
          <w:szCs w:val="22"/>
          <w:lang w:val="ru-RU"/>
        </w:rPr>
        <w:t xml:space="preserve"> а также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связанные с государственной регистрацией перехода к нему права собственности на Недвижимое имущество</w:t>
      </w:r>
      <w:r w:rsidR="007534C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в соответствии с действующим законодательством Российской Федерации.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Порядок передачи имущества</w:t>
      </w:r>
    </w:p>
    <w:p w:rsidR="0059758A" w:rsidRPr="00090875" w:rsidRDefault="0059758A" w:rsidP="0059758A">
      <w:pPr>
        <w:tabs>
          <w:tab w:val="left" w:pos="1080"/>
        </w:tabs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Имущество передается Продавцом Покупателю по Акту приема-передачи Имущества, подписываемому полномочными представителями Сторон в течение 10 (десяти) дней после поступления денежных средств в счет оплаты Имущества на расчетный счет Продавца в полном объеме.</w:t>
      </w: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С даты подписания Акта приема-передачи Имущества, равно как и риск случайной порчи или гибели, несет Покупатель.</w:t>
      </w: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59758A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недвижимое имущество, указанное в п. 1.1. настоящего Договора, возникает у Покупателя с момента государственной регистрации перехода права собственности от Продавца к Покупателю.</w:t>
      </w: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Имущества Покупателем.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Обязательства сторон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Обязанности Продавца:</w:t>
      </w:r>
    </w:p>
    <w:p w:rsidR="0059758A" w:rsidRPr="00090875" w:rsidRDefault="0059758A" w:rsidP="0059758A">
      <w:pPr>
        <w:numPr>
          <w:ilvl w:val="2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Покупателю имущество, указанное в п. 1.1. настоящего договора, на основании передаточного акта. Передача Покупателю имущества должна быть произведена Продавцом после полной оплаты передаваемого по настоящему договору имущества в течение 10 (десяти) дней с момента оплаты Покупателем Имущества. Составление и представление на подписание передаточного акта является обязанностью Продавца.</w:t>
      </w:r>
    </w:p>
    <w:p w:rsidR="0059758A" w:rsidRPr="00090875" w:rsidRDefault="0059758A" w:rsidP="0059758A">
      <w:pPr>
        <w:numPr>
          <w:ilvl w:val="2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Обязанности Покупателя: 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принять имущество, указанное в п. 1.1. настоящего договора, на основании передаточного акта.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оплатить стоимость имущества, указанную в п. 2.2. настоящего договора, в порядке и в срок, предусмотренный настоящим Договором.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произвести все расходы, связанные с государственной регистрацией перехода права собственности на Имущество, указанное в п. 1.1. настоящего Договора.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уведомлен о техническом состоянии приобретенного имущества и претензий к Продавцу не имеет.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3"/>
        </w:numPr>
        <w:tabs>
          <w:tab w:val="left" w:pos="1080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Ответственность Сторон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lastRenderedPageBreak/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3"/>
        </w:numPr>
        <w:tabs>
          <w:tab w:val="left" w:pos="1080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Прочие условия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26BB" w:rsidRDefault="005926BB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подлежит обязательному нотариальному удостоверению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9758A" w:rsidRPr="00090875" w:rsidRDefault="0059758A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:rsidR="0059758A" w:rsidRPr="00090875" w:rsidRDefault="0059758A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59758A" w:rsidRPr="00090875" w:rsidRDefault="0059758A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Расторжение Договора возможно по взаимному соглашению Сторон, совершенному в письменной форме.</w:t>
      </w:r>
    </w:p>
    <w:p w:rsidR="0059758A" w:rsidRPr="00090875" w:rsidRDefault="0059758A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Все споры, связанные с Договором, подлежат урегулированию путем переговоров.</w:t>
      </w:r>
    </w:p>
    <w:p w:rsidR="0059758A" w:rsidRPr="00090875" w:rsidRDefault="0059758A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:rsidR="0059758A" w:rsidRPr="00090875" w:rsidRDefault="0059758A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59758A" w:rsidRPr="00090875" w:rsidRDefault="0059758A" w:rsidP="005926BB">
      <w:pPr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26BB">
      <w:pPr>
        <w:numPr>
          <w:ilvl w:val="0"/>
          <w:numId w:val="5"/>
        </w:numPr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Реквизиты сторон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786"/>
        <w:gridCol w:w="4677"/>
      </w:tblGrid>
      <w:tr w:rsidR="0059758A" w:rsidRPr="00090875" w:rsidTr="008B7925">
        <w:tc>
          <w:tcPr>
            <w:tcW w:w="4786" w:type="dxa"/>
          </w:tcPr>
          <w:p w:rsidR="0059758A" w:rsidRPr="00277ABF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AB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 ООО «МАГГИС-ТРЕЙД»</w:t>
            </w:r>
          </w:p>
        </w:tc>
        <w:tc>
          <w:tcPr>
            <w:tcW w:w="4677" w:type="dxa"/>
          </w:tcPr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77AB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59758A" w:rsidRPr="00090875" w:rsidTr="008B7925">
        <w:trPr>
          <w:trHeight w:val="1635"/>
        </w:trPr>
        <w:tc>
          <w:tcPr>
            <w:tcW w:w="4786" w:type="dxa"/>
          </w:tcPr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 xml:space="preserve">ИНН 7730143808 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КПП 773001001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ОГРН 1027739851700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Юридический адрес: 121059, г. Москва, ул. Бородинская 1-я, 2А, пом.1, комн.1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 w:bidi="ru-RU"/>
              </w:rPr>
              <w:t>Основной счет:</w:t>
            </w:r>
          </w:p>
          <w:p w:rsidR="0059758A" w:rsidRPr="00277ABF" w:rsidRDefault="0059758A" w:rsidP="008B7925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</w:pPr>
            <w:r w:rsidRPr="0009087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 xml:space="preserve">р/с № 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 xml:space="preserve">40701810609800000022 </w:t>
            </w:r>
            <w:r w:rsidRPr="0009087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 xml:space="preserve">в 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Филиал</w:t>
            </w:r>
            <w:r w:rsid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е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 xml:space="preserve"> "Центральный" Банка ВТБ (ПАО) в г. Москве</w:t>
            </w:r>
            <w:r w:rsidRPr="0009087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 xml:space="preserve">, БИК 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044525411</w:t>
            </w:r>
            <w:r w:rsidRPr="0009087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 xml:space="preserve">, к/с № 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30101810145250000411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59758A" w:rsidRPr="00090875" w:rsidRDefault="0059758A" w:rsidP="008B7925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09087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  <w:t>Специальный банковский счет для осуществления расчетов, связанных c удовлетворением требований кредиторов за счет денежных средств, вырученных от реализации предмета залога:</w:t>
            </w:r>
          </w:p>
          <w:p w:rsidR="0059758A" w:rsidRPr="00277ABF" w:rsidRDefault="0059758A" w:rsidP="008B7925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09087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р/с № </w:t>
            </w:r>
            <w:r w:rsidR="00277ABF" w:rsidRPr="00277ABF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40701810009800000020 </w:t>
            </w:r>
            <w:r w:rsidRPr="0009087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в 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Филиал</w:t>
            </w:r>
            <w:r w:rsid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е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 xml:space="preserve"> "Центральный" Банка ВТБ (ПАО) в г. Москве</w:t>
            </w:r>
            <w:r w:rsidRPr="0009087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, БИК 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044525411</w:t>
            </w:r>
            <w:r w:rsidRPr="0009087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, к/с № </w:t>
            </w:r>
            <w:r w:rsidR="00277ABF" w:rsidRPr="00277ABF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30101810145250000411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«МАГГИС-ТРЕЙД»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 /Воронин Д. В./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7" w:type="dxa"/>
          </w:tcPr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 ____________________ /</w:t>
            </w: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59758A" w:rsidRPr="00090875" w:rsidRDefault="0059758A" w:rsidP="0059758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B40CC" w:rsidRDefault="00277ABF"/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522A"/>
    <w:multiLevelType w:val="hybridMultilevel"/>
    <w:tmpl w:val="B5DC5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526A23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8964B9"/>
    <w:multiLevelType w:val="multilevel"/>
    <w:tmpl w:val="C0A28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20541D"/>
    <w:multiLevelType w:val="multilevel"/>
    <w:tmpl w:val="85CC4EF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13733C"/>
    <w:multiLevelType w:val="multilevel"/>
    <w:tmpl w:val="13A2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0"/>
    <w:rsid w:val="00277ABF"/>
    <w:rsid w:val="005926BB"/>
    <w:rsid w:val="0059758A"/>
    <w:rsid w:val="007534CB"/>
    <w:rsid w:val="00A402A0"/>
    <w:rsid w:val="00A77653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7F29D-265A-456C-8106-9EE66A3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8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Diana Sidoristova</cp:lastModifiedBy>
  <cp:revision>3</cp:revision>
  <dcterms:created xsi:type="dcterms:W3CDTF">2019-09-19T15:13:00Z</dcterms:created>
  <dcterms:modified xsi:type="dcterms:W3CDTF">2021-07-22T15:15:00Z</dcterms:modified>
</cp:coreProperties>
</file>