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337CCC91" w:rsidR="001D7929" w:rsidRPr="00B26921" w:rsidRDefault="001D7929" w:rsidP="00F56FF3">
      <w:pPr>
        <w:pStyle w:val="a3"/>
        <w:rPr>
          <w:rFonts w:ascii="Verdana" w:hAnsi="Verdana"/>
          <w:b/>
          <w:sz w:val="20"/>
          <w:lang w:val="en-US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B26921">
        <w:rPr>
          <w:rFonts w:ascii="Verdana" w:hAnsi="Verdana"/>
          <w:b/>
          <w:sz w:val="20"/>
          <w:lang w:val="en-US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868A68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B26921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____________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D1B6F" w:rsidRPr="00CC3B0A" w14:paraId="4AA3B6A8" w14:textId="77777777" w:rsidTr="00CC3B0A">
        <w:tc>
          <w:tcPr>
            <w:tcW w:w="9072" w:type="dxa"/>
          </w:tcPr>
          <w:p w14:paraId="7BA02B22" w14:textId="3BD103E3" w:rsidR="004D1B6F" w:rsidRPr="00224F8A" w:rsidRDefault="00B26921" w:rsidP="00B2692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дальнейшем «Продавец», в лице</w:t>
            </w:r>
            <w:r w:rsidRPr="00733070">
              <w:rPr>
                <w:sz w:val="24"/>
              </w:rPr>
              <w:t xml:space="preserve"> </w:t>
            </w:r>
            <w:r w:rsidRPr="0031068F">
              <w:rPr>
                <w:sz w:val="24"/>
                <w:szCs w:val="24"/>
              </w:rPr>
              <w:t xml:space="preserve">Ивановой Наталии Александровны, действующей на основании Доверенности № </w:t>
            </w:r>
            <w:r>
              <w:rPr>
                <w:sz w:val="24"/>
                <w:szCs w:val="24"/>
              </w:rPr>
              <w:t>92</w:t>
            </w:r>
            <w:r w:rsidRPr="0031068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2021</w:t>
            </w:r>
            <w:r w:rsidRPr="0031068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</w:t>
            </w:r>
            <w:r w:rsidRPr="003106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31068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310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(удостоверена Красновым Германом</w:t>
            </w:r>
            <w:r w:rsidRPr="0031068F">
              <w:rPr>
                <w:sz w:val="24"/>
                <w:szCs w:val="24"/>
              </w:rPr>
              <w:t xml:space="preserve"> Евгеньевичем, нотариусом города Москвы</w:t>
            </w:r>
            <w:r w:rsidRPr="0031068F">
              <w:rPr>
                <w:bCs/>
                <w:kern w:val="3"/>
                <w:sz w:val="24"/>
                <w:szCs w:val="24"/>
              </w:rPr>
              <w:t xml:space="preserve">, </w:t>
            </w:r>
            <w:r w:rsidRPr="0031068F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а в реестре № 77/287-н/77-2021-17-802</w:t>
            </w:r>
            <w:r w:rsidRPr="0031068F">
              <w:rPr>
                <w:sz w:val="24"/>
                <w:szCs w:val="24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B338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именуемое в дальнейшем </w:t>
            </w:r>
            <w:r w:rsidRPr="00B2692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</w:t>
            </w:r>
            <w:r w:rsidRPr="00B338D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»</w:t>
            </w:r>
            <w:r w:rsidR="004D1B6F" w:rsidRPr="00CD48EA">
              <w:rPr>
                <w:rFonts w:ascii="Verdana" w:hAnsi="Verdana" w:cs="Times New Roman"/>
                <w:sz w:val="20"/>
                <w:szCs w:val="20"/>
              </w:rPr>
              <w:t>, с одной стороны</w:t>
            </w:r>
            <w:r w:rsidR="004D1B6F">
              <w:rPr>
                <w:rFonts w:ascii="Verdana" w:hAnsi="Verdana" w:cs="Times New Roman"/>
                <w:sz w:val="20"/>
                <w:szCs w:val="20"/>
              </w:rPr>
              <w:t xml:space="preserve"> и</w:t>
            </w:r>
          </w:p>
        </w:tc>
      </w:tr>
    </w:tbl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4D1B6F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4D1B6F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4D1B6F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DFC06AB" w14:textId="14288545" w:rsidR="00497C69" w:rsidRDefault="00B83979" w:rsidP="00497C6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97C69" w:rsidRPr="00497C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97C69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97C69" w:rsidRPr="00224F8A">
        <w:rPr>
          <w:rFonts w:ascii="Verdana" w:hAnsi="Verdana" w:cs="Tms Rmn"/>
          <w:sz w:val="20"/>
          <w:szCs w:val="20"/>
        </w:rPr>
        <w:t>Протокола</w:t>
      </w:r>
      <w:r w:rsidR="00497C69">
        <w:rPr>
          <w:rFonts w:ascii="Verdana" w:hAnsi="Verdana" w:cs="Tms Rmn"/>
          <w:sz w:val="20"/>
          <w:szCs w:val="20"/>
        </w:rPr>
        <w:t xml:space="preserve"> № ___ от _____</w:t>
      </w:r>
      <w:proofErr w:type="gramStart"/>
      <w:r w:rsidR="00497C69">
        <w:rPr>
          <w:rFonts w:ascii="Verdana" w:hAnsi="Verdana" w:cs="Tms Rmn"/>
          <w:sz w:val="20"/>
          <w:szCs w:val="20"/>
        </w:rPr>
        <w:t xml:space="preserve">_  </w:t>
      </w:r>
      <w:r w:rsidR="00497C69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proofErr w:type="gramEnd"/>
      <w:r w:rsidR="00497C69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указывается наименование и реквизиты документа, оформленного по итогам процедуры торгов)</w:t>
      </w:r>
      <w:r w:rsidR="00497C69" w:rsidRPr="00497C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97C69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0F62493" w14:textId="49E8893A" w:rsidR="00497C69" w:rsidRDefault="00497C69" w:rsidP="00F56FF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6D5FA49" w14:textId="77777777" w:rsidR="008E4832" w:rsidRDefault="00BD7FC5" w:rsidP="006A4B09">
      <w:pPr>
        <w:pStyle w:val="ConsNormal"/>
        <w:widowControl/>
        <w:numPr>
          <w:ilvl w:val="1"/>
          <w:numId w:val="26"/>
        </w:numPr>
        <w:tabs>
          <w:tab w:val="left" w:pos="1080"/>
        </w:tabs>
        <w:ind w:left="0" w:right="0" w:firstLine="710"/>
        <w:jc w:val="both"/>
        <w:rPr>
          <w:rFonts w:ascii="Verdana" w:hAnsi="Verdana" w:cs="Times New Roman"/>
        </w:rPr>
      </w:pPr>
      <w:r w:rsidRPr="008E4832">
        <w:rPr>
          <w:rFonts w:ascii="Verdana" w:hAnsi="Verdana" w:cs="Times New Roman"/>
        </w:rPr>
        <w:t xml:space="preserve">По </w:t>
      </w:r>
      <w:r w:rsidR="00CB783A" w:rsidRPr="008E4832">
        <w:rPr>
          <w:rFonts w:ascii="Verdana" w:hAnsi="Verdana" w:cs="Times New Roman"/>
        </w:rPr>
        <w:t>Договору</w:t>
      </w:r>
      <w:r w:rsidRPr="008E4832">
        <w:rPr>
          <w:rFonts w:ascii="Verdana" w:hAnsi="Verdana" w:cs="Times New Roman"/>
        </w:rPr>
        <w:t xml:space="preserve"> </w:t>
      </w:r>
      <w:r w:rsidR="00171986" w:rsidRPr="008E4832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8E4832">
        <w:rPr>
          <w:rFonts w:ascii="Verdana" w:hAnsi="Verdana" w:cs="Times New Roman"/>
        </w:rPr>
        <w:t>я</w:t>
      </w:r>
      <w:r w:rsidR="00171986" w:rsidRPr="008E4832">
        <w:rPr>
          <w:rFonts w:ascii="Verdana" w:hAnsi="Verdana" w:cs="Times New Roman"/>
        </w:rPr>
        <w:t xml:space="preserve">, а </w:t>
      </w:r>
    </w:p>
    <w:p w14:paraId="7E5C715B" w14:textId="48801564" w:rsidR="00171986" w:rsidRPr="008E4832" w:rsidRDefault="008E4832" w:rsidP="006A4B09">
      <w:pPr>
        <w:pStyle w:val="ConsNormal"/>
        <w:widowControl/>
        <w:ind w:right="0" w:firstLine="71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="00171986" w:rsidRPr="008E4832">
        <w:rPr>
          <w:rFonts w:ascii="Verdana" w:hAnsi="Verdana" w:cs="Times New Roman"/>
        </w:rPr>
        <w:t xml:space="preserve">окупатель обязуется принять и оплатить </w:t>
      </w:r>
      <w:r w:rsidRPr="008E4832">
        <w:rPr>
          <w:rFonts w:ascii="Verdana" w:hAnsi="Verdana" w:cs="Times New Roman"/>
        </w:rPr>
        <w:t>квартир</w:t>
      </w:r>
      <w:r w:rsidR="005D0050">
        <w:rPr>
          <w:rFonts w:ascii="Verdana" w:hAnsi="Verdana" w:cs="Times New Roman"/>
        </w:rPr>
        <w:t>у</w:t>
      </w:r>
      <w:r w:rsidRPr="008E4832">
        <w:rPr>
          <w:rFonts w:ascii="Verdana" w:hAnsi="Verdana" w:cs="Times New Roman"/>
        </w:rPr>
        <w:t xml:space="preserve"> площадью 49,8 кв. м., расположенн</w:t>
      </w:r>
      <w:r w:rsidR="005D0050">
        <w:rPr>
          <w:rFonts w:ascii="Verdana" w:hAnsi="Verdana" w:cs="Times New Roman"/>
        </w:rPr>
        <w:t>ую</w:t>
      </w:r>
      <w:r w:rsidRPr="008E4832">
        <w:rPr>
          <w:rFonts w:ascii="Verdana" w:hAnsi="Verdana" w:cs="Times New Roman"/>
        </w:rPr>
        <w:t xml:space="preserve"> по адресу: Самарская обл., г. Тольятти, ул. Толстого, д. 24, кв. 187, кадастровый номер 63:09:0301166:2416, расположенную на 2-м этаже 9-ти этажного дома </w:t>
      </w:r>
      <w:r w:rsidR="00171986" w:rsidRPr="008E4832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31AAB5C9" w:rsidR="00D911F0" w:rsidRPr="008509DF" w:rsidRDefault="008E4832" w:rsidP="008E4832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E4832">
        <w:rPr>
          <w:rFonts w:ascii="Verdana" w:hAnsi="Verdana" w:cs="Times New Roman"/>
        </w:rPr>
        <w:t xml:space="preserve">Недвижимое имущество принадлежит Продавцу на праве собственности на основании соглашения об отступном и акта приема передачи от 21.01.2021 г., о чем в Едином государственном реестре недвижимости сделана запись о регистрации № № 63:09:0301166:2416-63/463/2021-11 от 03.02.2021 г., что подтверждается Выпиской из </w:t>
      </w:r>
      <w:r w:rsidRPr="008E4832">
        <w:rPr>
          <w:rFonts w:ascii="Verdana" w:hAnsi="Verdana" w:cs="Times New Roman"/>
        </w:rPr>
        <w:lastRenderedPageBreak/>
        <w:t>Единого государственного реестра недвижимости от 14.05.2021 г. № 99/2021/392886175.</w:t>
      </w:r>
    </w:p>
    <w:p w14:paraId="2EE49ED7" w14:textId="49F7F7D8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7DD3938F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</w:t>
            </w:r>
            <w:r w:rsidR="001F5F93">
              <w:rPr>
                <w:rStyle w:val="af5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footnoteReference w:id="1"/>
            </w: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D944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D94430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lastRenderedPageBreak/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605E8A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605E8A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B0594CE" w14:textId="4B446D7E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="00CF1C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</w:t>
      </w:r>
      <w:r w:rsidR="00CF1C13" w:rsidRPr="0072455E">
        <w:rPr>
          <w:rFonts w:ascii="Verdana" w:hAnsi="Verdana" w:cs="Verdana"/>
          <w:color w:val="000000"/>
          <w:sz w:val="20"/>
          <w:szCs w:val="20"/>
        </w:rPr>
        <w:t xml:space="preserve">недостатков, </w:t>
      </w:r>
      <w:r w:rsidR="00CF1C13" w:rsidRPr="0072455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CF1C13" w:rsidRPr="0072455E">
        <w:rPr>
          <w:rFonts w:ascii="Verdana" w:hAnsi="Verdana" w:cs="Verdana"/>
          <w:color w:val="000000"/>
          <w:sz w:val="20"/>
          <w:szCs w:val="20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</w:t>
      </w:r>
      <w:r w:rsidR="00CF1C13" w:rsidRPr="0072455E">
        <w:rPr>
          <w:rFonts w:ascii="Verdana" w:eastAsia="Times New Roman" w:hAnsi="Verdana"/>
          <w:color w:val="000000" w:themeColor="text1"/>
          <w:sz w:val="20"/>
          <w:szCs w:val="20"/>
        </w:rPr>
        <w:t xml:space="preserve">в том числе </w:t>
      </w:r>
      <w:r w:rsidR="00CF1C13" w:rsidRPr="0072455E">
        <w:rPr>
          <w:rFonts w:ascii="Verdana" w:hAnsi="Verdana"/>
          <w:sz w:val="20"/>
          <w:szCs w:val="20"/>
        </w:rPr>
        <w:t>по арендным отношениям в отношении земельного участка</w:t>
      </w:r>
      <w:r w:rsidR="00CF1C13" w:rsidRPr="0072455E">
        <w:rPr>
          <w:rFonts w:ascii="Verdana" w:eastAsia="Times New Roman" w:hAnsi="Verdana"/>
          <w:color w:val="000000" w:themeColor="text1"/>
          <w:sz w:val="20"/>
          <w:szCs w:val="20"/>
        </w:rPr>
        <w:t>,</w:t>
      </w:r>
      <w:r w:rsidR="00CF1C13" w:rsidRPr="0072455E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</w:t>
      </w:r>
      <w:r w:rsidR="00CF1C13">
        <w:rPr>
          <w:rFonts w:ascii="Verdana" w:hAnsi="Verdana" w:cs="Verdana"/>
          <w:color w:val="000000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41CA9E7B" w:rsidR="00E2774D" w:rsidRPr="001D0899" w:rsidRDefault="00CF1A05" w:rsidP="001D089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1D0899">
        <w:rPr>
          <w:rFonts w:ascii="Verdana" w:hAnsi="Verdana" w:cs="Times New Roman"/>
        </w:rPr>
        <w:t xml:space="preserve">Цена недвижимого имущества составляет </w:t>
      </w:r>
      <w:r w:rsidR="001D0899" w:rsidRPr="001D0899">
        <w:rPr>
          <w:rFonts w:ascii="Verdana" w:hAnsi="Verdana" w:cs="Times New Roman"/>
        </w:rPr>
        <w:t>______________________</w:t>
      </w:r>
      <w:r w:rsidR="001D0899">
        <w:rPr>
          <w:rFonts w:ascii="Verdana" w:hAnsi="Verdana" w:cs="Times New Roman"/>
        </w:rPr>
        <w:t xml:space="preserve"> </w:t>
      </w:r>
      <w:r w:rsidR="001D0899" w:rsidRPr="001D0899">
        <w:rPr>
          <w:rFonts w:ascii="Verdana" w:hAnsi="Verdana" w:cs="Times New Roman"/>
        </w:rPr>
        <w:t>(__________________)</w:t>
      </w:r>
      <w:r w:rsidR="001D0899" w:rsidRPr="008509DF">
        <w:rPr>
          <w:rFonts w:ascii="Verdana" w:hAnsi="Verdana" w:cs="Times New Roman"/>
        </w:rPr>
        <w:t xml:space="preserve"> рублей </w:t>
      </w:r>
      <w:r w:rsidR="001D0899" w:rsidRPr="001D0899">
        <w:rPr>
          <w:rFonts w:ascii="Verdana" w:hAnsi="Verdana" w:cs="Times New Roman"/>
        </w:rPr>
        <w:t>___</w:t>
      </w:r>
      <w:r w:rsidR="001D0899" w:rsidRPr="008509DF">
        <w:rPr>
          <w:rFonts w:ascii="Verdana" w:hAnsi="Verdana" w:cs="Times New Roman"/>
        </w:rPr>
        <w:t xml:space="preserve"> копеек, НДС не облагается на основании пп.22 п.3 ст.149 Налогового кодекса Российской Федерации.</w:t>
      </w:r>
    </w:p>
    <w:p w14:paraId="1943DEEB" w14:textId="52F530E5" w:rsidR="00B64B5C" w:rsidRPr="008509DF" w:rsidRDefault="00B64B5C" w:rsidP="001D0899">
      <w:pPr>
        <w:pStyle w:val="a5"/>
        <w:numPr>
          <w:ilvl w:val="1"/>
          <w:numId w:val="27"/>
        </w:numPr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935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  <w:gridCol w:w="141"/>
      </w:tblGrid>
      <w:tr w:rsidR="0066099B" w:rsidRPr="001F4AB1" w14:paraId="182735DE" w14:textId="77777777" w:rsidTr="002A53CD">
        <w:trPr>
          <w:trHeight w:val="1004"/>
        </w:trPr>
        <w:tc>
          <w:tcPr>
            <w:tcW w:w="2127" w:type="dxa"/>
            <w:shd w:val="clear" w:color="auto" w:fill="auto"/>
          </w:tcPr>
          <w:p w14:paraId="14E7BD9E" w14:textId="77777777" w:rsidR="0066099B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621365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полной предварительной оплаты</w:t>
            </w:r>
          </w:p>
        </w:tc>
        <w:tc>
          <w:tcPr>
            <w:tcW w:w="7228" w:type="dxa"/>
            <w:gridSpan w:val="2"/>
            <w:shd w:val="clear" w:color="auto" w:fill="auto"/>
          </w:tcPr>
          <w:p w14:paraId="628EB79F" w14:textId="231841B6" w:rsidR="0066099B" w:rsidRPr="001F4AB1" w:rsidRDefault="0066099B" w:rsidP="005D77AA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 с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суммы в размере </w:t>
            </w:r>
            <w:bookmarkStart w:id="0" w:name="_GoBack"/>
            <w:bookmarkEnd w:id="0"/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копеек,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66099B" w:rsidRPr="001F4AB1" w14:paraId="32F88962" w14:textId="77777777" w:rsidTr="002A53CD">
        <w:tc>
          <w:tcPr>
            <w:tcW w:w="2127" w:type="dxa"/>
            <w:shd w:val="clear" w:color="auto" w:fill="auto"/>
          </w:tcPr>
          <w:p w14:paraId="334A36BA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122566F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</w:t>
            </w:r>
            <w:proofErr w:type="spellStart"/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с использованием кредитных средств </w:t>
            </w: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5D5ACA7F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7F1752BC" w14:textId="13E902EA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копеек,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  <w:p w14:paraId="3CCDE604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41FDFAB3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787774C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66099B" w:rsidRPr="001F4AB1" w14:paraId="4CFCAD91" w14:textId="77777777" w:rsidTr="002A53CD">
        <w:tc>
          <w:tcPr>
            <w:tcW w:w="2127" w:type="dxa"/>
            <w:shd w:val="clear" w:color="auto" w:fill="auto"/>
          </w:tcPr>
          <w:p w14:paraId="03BB483A" w14:textId="77777777" w:rsidR="0066099B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42CE8175" w14:textId="77777777" w:rsidR="0066099B" w:rsidRPr="008641E7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</w:t>
            </w:r>
          </w:p>
          <w:p w14:paraId="07493BAD" w14:textId="77777777" w:rsidR="0066099B" w:rsidRPr="008641E7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Номинального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счета</w:t>
            </w:r>
          </w:p>
          <w:p w14:paraId="1F830AFB" w14:textId="77777777" w:rsidR="0066099B" w:rsidRPr="008641E7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(в том числе с использованием кредитных средств (с указанием в Договоре реквизитов кредитного договора</w:t>
            </w:r>
          </w:p>
          <w:p w14:paraId="0148FC54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6804DE62" w14:textId="77777777" w:rsidR="0066099B" w:rsidRPr="001F4AB1" w:rsidRDefault="0066099B" w:rsidP="002A53C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lastRenderedPageBreak/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</w:t>
            </w:r>
            <w:r w:rsidRPr="001F4AB1">
              <w:rPr>
                <w:rFonts w:ascii="Verdana" w:hAnsi="Verdana"/>
                <w:sz w:val="20"/>
                <w:szCs w:val="20"/>
              </w:rPr>
              <w:lastRenderedPageBreak/>
              <w:t>безопасных расчетов») денежные средства в размере ___________________ (__________________) рублей __ копеек, НДС не облагается на основании пп.22 п.3 ст.149 Налогового кодекса Российской Федерации.</w:t>
            </w:r>
          </w:p>
          <w:p w14:paraId="1DD43477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ED7685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0E8BC7B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5B93B7BD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66099B" w:rsidRPr="001F4AB1" w14:paraId="65721B62" w14:textId="77777777" w:rsidTr="002A53CD">
        <w:trPr>
          <w:trHeight w:val="1459"/>
        </w:trPr>
        <w:tc>
          <w:tcPr>
            <w:tcW w:w="2127" w:type="dxa"/>
            <w:shd w:val="clear" w:color="auto" w:fill="auto"/>
          </w:tcPr>
          <w:p w14:paraId="149B80B3" w14:textId="77777777" w:rsidR="0066099B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4</w:t>
            </w:r>
          </w:p>
          <w:p w14:paraId="2CA51185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при расчетах с использованием средств материнского (семейного) капиталов</w:t>
            </w:r>
          </w:p>
          <w:p w14:paraId="539DE186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федерального и регионального уровней, средств предназначенных для жилищного обеспечения военнослужащих и иных средств государственной</w:t>
            </w:r>
          </w:p>
          <w:p w14:paraId="6AE1B316" w14:textId="77777777" w:rsidR="0066099B" w:rsidRPr="001F4AB1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поддержки выделяемых для улучшения жилищных условий</w:t>
            </w:r>
          </w:p>
        </w:tc>
        <w:tc>
          <w:tcPr>
            <w:tcW w:w="7228" w:type="dxa"/>
            <w:gridSpan w:val="2"/>
            <w:shd w:val="clear" w:color="auto" w:fill="auto"/>
          </w:tcPr>
          <w:p w14:paraId="6FA031EC" w14:textId="77777777" w:rsidR="0066099B" w:rsidRPr="001F4AB1" w:rsidRDefault="0066099B" w:rsidP="002A53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FA83054" w14:textId="4FA7DD57" w:rsidR="0066099B" w:rsidRPr="009A2A21" w:rsidRDefault="0066099B" w:rsidP="009A2A21">
            <w:pPr>
              <w:pStyle w:val="a5"/>
              <w:numPr>
                <w:ilvl w:val="0"/>
                <w:numId w:val="36"/>
              </w:numPr>
              <w:adjustRightInd w:val="0"/>
              <w:jc w:val="both"/>
              <w:rPr>
                <w:rFonts w:ascii="Verdana" w:hAnsi="Verdana"/>
              </w:rPr>
            </w:pPr>
            <w:r w:rsidRPr="009A2A21">
              <w:rPr>
                <w:rFonts w:ascii="Verdana" w:hAnsi="Verdana"/>
              </w:rPr>
              <w:t>часть цены в размере ______ руб. 00 копеек (НДС не облагается на основании пп.22 п.3 ст.149 Налогового кодекса Российской Федерации).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225301A0" w14:textId="0C0AB7EA" w:rsidR="0066099B" w:rsidRPr="001F4AB1" w:rsidRDefault="0066099B" w:rsidP="009A2A21">
            <w:pPr>
              <w:pStyle w:val="a5"/>
              <w:numPr>
                <w:ilvl w:val="0"/>
                <w:numId w:val="36"/>
              </w:numPr>
              <w:adjustRightInd w:val="0"/>
              <w:jc w:val="both"/>
              <w:rPr>
                <w:rFonts w:ascii="Verdana" w:hAnsi="Verdana"/>
              </w:rPr>
            </w:pPr>
            <w:r w:rsidRPr="001F4AB1">
              <w:rPr>
                <w:rFonts w:ascii="Verdana" w:hAnsi="Verdana"/>
              </w:rPr>
              <w:t>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(ООО«ЦНС») (по согласованию между продавцом и покупателем).</w:t>
            </w:r>
          </w:p>
        </w:tc>
      </w:tr>
      <w:tr w:rsidR="0066099B" w:rsidRPr="008509DF" w14:paraId="2FDF689E" w14:textId="77777777" w:rsidTr="002A53CD">
        <w:trPr>
          <w:gridAfter w:val="1"/>
          <w:wAfter w:w="141" w:type="dxa"/>
        </w:trPr>
        <w:tc>
          <w:tcPr>
            <w:tcW w:w="2127" w:type="dxa"/>
            <w:shd w:val="clear" w:color="auto" w:fill="auto"/>
          </w:tcPr>
          <w:p w14:paraId="65916AA5" w14:textId="77777777" w:rsidR="0066099B" w:rsidRPr="008076AD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16B5394D" w14:textId="77777777" w:rsidR="0066099B" w:rsidRPr="008076AD" w:rsidRDefault="0066099B" w:rsidP="002A53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087" w:type="dxa"/>
            <w:shd w:val="clear" w:color="auto" w:fill="auto"/>
          </w:tcPr>
          <w:p w14:paraId="4163EE07" w14:textId="77777777" w:rsidR="0066099B" w:rsidRPr="008076AD" w:rsidRDefault="0066099B" w:rsidP="002A53CD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31AF5F15" w14:textId="77777777" w:rsidR="0066099B" w:rsidRPr="008509DF" w:rsidRDefault="0066099B" w:rsidP="002A53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EBDC4E" w14:textId="77777777" w:rsidR="00046C92" w:rsidRPr="009A46A7" w:rsidRDefault="00D95D9D" w:rsidP="00046C9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046C92"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</w:t>
      </w:r>
      <w:r w:rsidR="00046C92" w:rsidRPr="00463478">
        <w:rPr>
          <w:rFonts w:ascii="Verdana" w:hAnsi="Verdana" w:cstheme="minorBidi"/>
        </w:rPr>
        <w:t xml:space="preserve">не позднее 5 </w:t>
      </w:r>
      <w:r w:rsidR="00046C92">
        <w:rPr>
          <w:rFonts w:ascii="Verdana" w:hAnsi="Verdana" w:cstheme="minorBidi"/>
        </w:rPr>
        <w:t xml:space="preserve">(пяти) </w:t>
      </w:r>
      <w:r w:rsidR="00046C92" w:rsidRPr="00463478">
        <w:rPr>
          <w:rFonts w:ascii="Verdana" w:hAnsi="Verdana" w:cstheme="minorBidi"/>
        </w:rPr>
        <w:t>рабочих дней с даты поступления на расчетный счет Продавца денежных средств по Договору в полном объеме</w:t>
      </w:r>
      <w:r w:rsidR="00046C92">
        <w:rPr>
          <w:rFonts w:ascii="Verdana" w:hAnsi="Verdana" w:cstheme="minorBidi"/>
        </w:rPr>
        <w:t>.</w:t>
      </w:r>
    </w:p>
    <w:p w14:paraId="5D1E3E5C" w14:textId="4AC15D96" w:rsidR="00A24C91" w:rsidRPr="008509DF" w:rsidRDefault="00A24C91" w:rsidP="00196E5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Pr="008076AD">
        <w:rPr>
          <w:rFonts w:ascii="Verdana" w:hAnsi="Verdana"/>
        </w:rPr>
        <w:t>оговора</w:t>
      </w:r>
      <w:r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2472558F" w:rsidR="00A24C91" w:rsidRPr="008509DF" w:rsidRDefault="00A24C91" w:rsidP="00196E5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>Обязательство Продавца передать недвижимое имуще</w:t>
      </w:r>
      <w:r w:rsidR="00301273" w:rsidRPr="008509DF">
        <w:rPr>
          <w:rFonts w:ascii="Verdana" w:hAnsi="Verdana"/>
        </w:rPr>
        <w:t>ство считается исполненным в дату</w:t>
      </w:r>
      <w:r w:rsidRPr="008509DF">
        <w:rPr>
          <w:rFonts w:ascii="Verdana" w:hAnsi="Verdana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0C50179E" w:rsidR="00CE777E" w:rsidRDefault="00B13C17" w:rsidP="00B243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77A6B5BA" w14:textId="77777777" w:rsidR="00507C43" w:rsidRDefault="00507C43" w:rsidP="00B243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07C43" w:rsidRPr="00A94BE8" w14:paraId="4205456F" w14:textId="77777777" w:rsidTr="002A53CD">
        <w:tc>
          <w:tcPr>
            <w:tcW w:w="2269" w:type="dxa"/>
          </w:tcPr>
          <w:p w14:paraId="4342F03B" w14:textId="77777777" w:rsidR="00507C43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A06E697" w14:textId="77777777" w:rsidR="00507C43" w:rsidRPr="008641E7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641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 для оплаты без аккредитива</w:t>
            </w:r>
          </w:p>
        </w:tc>
        <w:tc>
          <w:tcPr>
            <w:tcW w:w="7502" w:type="dxa"/>
          </w:tcPr>
          <w:p w14:paraId="75C92E61" w14:textId="77777777" w:rsidR="00507C43" w:rsidRPr="00A94BE8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4.2.1. произвести оплату цены недвижимого имущества на условиях, 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установленных Договором.</w:t>
            </w:r>
          </w:p>
        </w:tc>
      </w:tr>
      <w:tr w:rsidR="00507C43" w:rsidRPr="008076AD" w14:paraId="77532EAC" w14:textId="77777777" w:rsidTr="002A53CD">
        <w:tc>
          <w:tcPr>
            <w:tcW w:w="2269" w:type="dxa"/>
            <w:tcBorders>
              <w:bottom w:val="single" w:sz="4" w:space="0" w:color="auto"/>
            </w:tcBorders>
          </w:tcPr>
          <w:p w14:paraId="5F459973" w14:textId="77777777" w:rsidR="00507C43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</w:t>
            </w:r>
          </w:p>
          <w:p w14:paraId="0C1CC0B9" w14:textId="77777777" w:rsidR="00507C43" w:rsidRPr="008076AD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аккредитивом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461A3AEB" w14:textId="77777777" w:rsidR="00507C43" w:rsidRPr="008076AD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55581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507C43" w:rsidRPr="001F4AB1" w14:paraId="7485E921" w14:textId="77777777" w:rsidTr="002A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326C80" w14:textId="77777777" w:rsidR="00507C43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</w:t>
            </w:r>
          </w:p>
          <w:p w14:paraId="2279599F" w14:textId="77777777" w:rsidR="00507C43" w:rsidRPr="001F4AB1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6FEA8D" w14:textId="77777777" w:rsidR="00507C43" w:rsidRPr="001F4AB1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1 (Одного)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  <w:tr w:rsidR="00507C43" w:rsidRPr="001F4AB1" w14:paraId="404615B9" w14:textId="77777777" w:rsidTr="002A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9" w:type="dxa"/>
            <w:tcBorders>
              <w:left w:val="nil"/>
            </w:tcBorders>
          </w:tcPr>
          <w:p w14:paraId="504D82E2" w14:textId="77777777" w:rsidR="00507C43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4</w:t>
            </w:r>
          </w:p>
          <w:p w14:paraId="48A30785" w14:textId="77777777" w:rsidR="00507C43" w:rsidRPr="001F4AB1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оплате с использованием средств материнского (семейного) капиталов федерального и регионального уровней, средств, предназначенных для</w:t>
            </w:r>
          </w:p>
          <w:p w14:paraId="316456FA" w14:textId="77777777" w:rsidR="00507C43" w:rsidRPr="001F4AB1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7169909B" w14:textId="77777777" w:rsidR="00507C43" w:rsidRPr="001F4AB1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поддержки выделяемых для улучшения жилищных условий  </w:t>
            </w:r>
          </w:p>
        </w:tc>
        <w:tc>
          <w:tcPr>
            <w:tcW w:w="7502" w:type="dxa"/>
            <w:tcBorders>
              <w:right w:val="nil"/>
            </w:tcBorders>
          </w:tcPr>
          <w:p w14:paraId="79DD77B3" w14:textId="77777777" w:rsidR="00507C43" w:rsidRPr="001F4AB1" w:rsidRDefault="00507C43" w:rsidP="002A53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произвести оплату цены Недвижимого имущества и </w:t>
            </w:r>
            <w:r w:rsidRPr="001F4AB1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предоставления в ________________________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документов, предусмотренных законодательством о предоставлении средств на приобретение жилья за счет мер государственной поддержки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представить Продавцу не позднее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681DFC69" w14:textId="77777777" w:rsidR="00507C43" w:rsidRPr="008509DF" w:rsidRDefault="00507C43" w:rsidP="00B243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AE6A273" w14:textId="77777777" w:rsidR="00083F1D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83F1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позднее: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083F1D" w:rsidRPr="003769EF" w14:paraId="62E2E494" w14:textId="77777777" w:rsidTr="005670C8">
        <w:tc>
          <w:tcPr>
            <w:tcW w:w="2410" w:type="dxa"/>
          </w:tcPr>
          <w:p w14:paraId="662D2A59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6DBE892C" w14:textId="77777777" w:rsidR="00083F1D" w:rsidRPr="00F14435" w:rsidRDefault="00083F1D" w:rsidP="005670C8">
            <w:pPr>
              <w:pStyle w:val="Defaul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144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41A14BF4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3EBA9ED" w14:textId="77777777" w:rsidR="00083F1D" w:rsidRPr="00507C43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 (пяти) рабочих дней с даты </w:t>
            </w:r>
            <w:r w:rsidRPr="00507C43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507C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объеме.</w:t>
            </w:r>
          </w:p>
        </w:tc>
      </w:tr>
      <w:tr w:rsidR="00083F1D" w:rsidRPr="00375432" w14:paraId="5AF0E60E" w14:textId="77777777" w:rsidTr="005670C8">
        <w:tc>
          <w:tcPr>
            <w:tcW w:w="2410" w:type="dxa"/>
          </w:tcPr>
          <w:p w14:paraId="3567E8CB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6E5A8437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218F3555" w14:textId="77777777" w:rsidR="00083F1D" w:rsidRPr="00507C43" w:rsidRDefault="00083F1D" w:rsidP="005670C8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20 (двадцати) 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DFDC165" w14:textId="77777777" w:rsidR="00083F1D" w:rsidRPr="00507C43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3F1D" w:rsidRPr="00375432" w14:paraId="3553022E" w14:textId="77777777" w:rsidTr="005670C8">
        <w:tc>
          <w:tcPr>
            <w:tcW w:w="2410" w:type="dxa"/>
          </w:tcPr>
          <w:p w14:paraId="66B680EC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027CD5C6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0A21BFF6" w14:textId="77777777" w:rsidR="00083F1D" w:rsidRPr="00507C43" w:rsidRDefault="00083F1D" w:rsidP="005670C8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20 (двадцати) рабочих дней с даты размещения денежных средств по Договору на номинальном счете ООО «ЦНС» в полном объеме</w:t>
            </w:r>
            <w:r w:rsidRPr="00507C43">
              <w:rPr>
                <w:rFonts w:ascii="Verdana" w:hAnsi="Verdana"/>
                <w:color w:val="auto"/>
                <w:sz w:val="20"/>
                <w:szCs w:val="20"/>
              </w:rPr>
              <w:t xml:space="preserve">. </w:t>
            </w:r>
          </w:p>
          <w:p w14:paraId="4BCDE83B" w14:textId="77777777" w:rsidR="00083F1D" w:rsidRPr="00507C43" w:rsidRDefault="00083F1D" w:rsidP="005670C8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</w:p>
        </w:tc>
      </w:tr>
      <w:tr w:rsidR="00083F1D" w:rsidRPr="00375432" w14:paraId="06F7B21C" w14:textId="77777777" w:rsidTr="005670C8">
        <w:tc>
          <w:tcPr>
            <w:tcW w:w="2410" w:type="dxa"/>
          </w:tcPr>
          <w:p w14:paraId="4C8778B3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4</w:t>
            </w:r>
          </w:p>
          <w:p w14:paraId="042E4AA4" w14:textId="77777777" w:rsidR="00083F1D" w:rsidRPr="00F14435" w:rsidRDefault="00083F1D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средств материнского (семейного) капиталов федерального и регионального уровней,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средств предназначенных для жи</w:t>
            </w:r>
            <w:r w:rsidRPr="003375B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лищного обеспечения военнослужащих и иных средств государственной поддержки выделяемых для улучшения жилищных условий</w:t>
            </w:r>
          </w:p>
        </w:tc>
        <w:tc>
          <w:tcPr>
            <w:tcW w:w="6935" w:type="dxa"/>
          </w:tcPr>
          <w:p w14:paraId="7EF2205C" w14:textId="77777777" w:rsidR="00083F1D" w:rsidRPr="00507C43" w:rsidRDefault="00083F1D" w:rsidP="005670C8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не позднее 5 (пяти) рабочих дней (далее предусмотрена вариативность в зависимости от условий расчетов):</w:t>
            </w:r>
          </w:p>
          <w:p w14:paraId="29D05EC3" w14:textId="77777777" w:rsidR="00083F1D" w:rsidRPr="00507C43" w:rsidRDefault="00083F1D" w:rsidP="005670C8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- с даты поступления на расчетный счет Продавца части денежных средств за минусом суммы подлежащей оплате за счет мер государственной поддержки;</w:t>
            </w:r>
          </w:p>
          <w:p w14:paraId="39D023B3" w14:textId="77777777" w:rsidR="00083F1D" w:rsidRPr="00507C43" w:rsidRDefault="00083F1D" w:rsidP="005670C8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-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поддержки;</w:t>
            </w:r>
          </w:p>
          <w:p w14:paraId="00F66119" w14:textId="77777777" w:rsidR="00083F1D" w:rsidRPr="00507C43" w:rsidRDefault="00083F1D" w:rsidP="005670C8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</w:p>
        </w:tc>
      </w:tr>
    </w:tbl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AD06320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83F1D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(</w:t>
      </w:r>
      <w:r w:rsidR="00083F1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40E1B3E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B87A1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42C0DF7E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6609439" w14:textId="13393F73" w:rsidR="00507C43" w:rsidRPr="001038C5" w:rsidRDefault="00507C43" w:rsidP="00507C4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38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неисполнения/несвоевременного исполнения Продавцом обязанностей по передаче недвижимого имущества </w:t>
      </w:r>
      <w:r w:rsidR="00A1338F" w:rsidRPr="001038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акту приема-передачи в срок, установленный договором </w:t>
      </w:r>
      <w:r w:rsidRPr="001038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и/или подаче документов на государственную регистрацию, Покупатель вправе требовать от Продавца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7C4AABCD" w14:textId="77777777" w:rsidR="00507C43" w:rsidRPr="008509DF" w:rsidRDefault="00507C43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0174AE15" w:rsidR="004D032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4471240" w14:textId="77777777" w:rsidR="00B87A1A" w:rsidRDefault="00B87A1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276"/>
      </w:tblGrid>
      <w:tr w:rsidR="00B87A1A" w:rsidRPr="00214EE9" w14:paraId="0BEEF919" w14:textId="77777777" w:rsidTr="00507C43">
        <w:tc>
          <w:tcPr>
            <w:tcW w:w="3295" w:type="dxa"/>
            <w:shd w:val="clear" w:color="auto" w:fill="auto"/>
          </w:tcPr>
          <w:p w14:paraId="761BE1DF" w14:textId="77777777" w:rsidR="00B87A1A" w:rsidRPr="00F45A54" w:rsidRDefault="00B87A1A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Прямые расчеты / оплата за счет мер государственной поддержки</w:t>
            </w:r>
          </w:p>
        </w:tc>
        <w:tc>
          <w:tcPr>
            <w:tcW w:w="6276" w:type="dxa"/>
            <w:shd w:val="clear" w:color="auto" w:fill="auto"/>
          </w:tcPr>
          <w:p w14:paraId="26B514E2" w14:textId="77777777" w:rsidR="00B87A1A" w:rsidRPr="00214EE9" w:rsidRDefault="00B87A1A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622C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9.2.1.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полном размере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и сроки, установленные Договором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/ Отказ в удовлетворении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заявления о предоставлении мер государственной поддержки</w:t>
            </w:r>
          </w:p>
        </w:tc>
      </w:tr>
      <w:tr w:rsidR="00B87A1A" w:rsidRPr="00214EE9" w14:paraId="3CFB879A" w14:textId="77777777" w:rsidTr="00507C43">
        <w:tc>
          <w:tcPr>
            <w:tcW w:w="3295" w:type="dxa"/>
            <w:shd w:val="clear" w:color="auto" w:fill="auto"/>
          </w:tcPr>
          <w:p w14:paraId="69D6E323" w14:textId="77777777" w:rsidR="00B87A1A" w:rsidRPr="00F45A54" w:rsidRDefault="00B87A1A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45A5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При аккредитивной форме расчетов/ расчетов с использованием номинального счета ООО «ЦНС» </w:t>
            </w:r>
          </w:p>
        </w:tc>
        <w:tc>
          <w:tcPr>
            <w:tcW w:w="6276" w:type="dxa"/>
            <w:shd w:val="clear" w:color="auto" w:fill="auto"/>
          </w:tcPr>
          <w:p w14:paraId="73D49240" w14:textId="77777777" w:rsidR="00B87A1A" w:rsidRPr="00214EE9" w:rsidRDefault="00B87A1A" w:rsidP="005670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622C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9.2.1.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1E823D4A" w14:textId="77777777" w:rsidR="00B87A1A" w:rsidRPr="008509DF" w:rsidRDefault="00B87A1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507C43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56D36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Стороны вправе требовать возврата того, что ими было исполнено по сделке. 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07C43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07C4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07C4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07C4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07C43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07C4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07C4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07C4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07C43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507C43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07C4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07C4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7C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EF3CEC0" w14:textId="77777777" w:rsidR="00507C43" w:rsidRPr="0055668A" w:rsidRDefault="00507C43" w:rsidP="00507C43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Pr="0055668A">
        <w:rPr>
          <w:rFonts w:ascii="Verdana" w:hAnsi="Verdana"/>
          <w:sz w:val="20"/>
          <w:szCs w:val="20"/>
        </w:rPr>
        <w:t xml:space="preserve">20__года на </w:t>
      </w:r>
      <w:r w:rsidRPr="0055668A">
        <w:rPr>
          <w:rFonts w:ascii="Verdana" w:hAnsi="Verdana"/>
          <w:color w:val="0070C0"/>
          <w:sz w:val="20"/>
          <w:szCs w:val="20"/>
        </w:rPr>
        <w:t>__</w:t>
      </w:r>
      <w:r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507C43" w:rsidRPr="00C76935" w14:paraId="1910D859" w14:textId="77777777" w:rsidTr="002A53CD">
        <w:tc>
          <w:tcPr>
            <w:tcW w:w="2094" w:type="dxa"/>
            <w:shd w:val="clear" w:color="auto" w:fill="auto"/>
          </w:tcPr>
          <w:p w14:paraId="0A4F682E" w14:textId="77777777" w:rsidR="00507C43" w:rsidRPr="00C76935" w:rsidRDefault="00507C43" w:rsidP="002A53C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07C43" w:rsidRPr="0055668A" w14:paraId="2B755101" w14:textId="77777777" w:rsidTr="002A53CD">
              <w:tc>
                <w:tcPr>
                  <w:tcW w:w="7609" w:type="dxa"/>
                </w:tcPr>
                <w:p w14:paraId="235C6AAE" w14:textId="77777777" w:rsidR="00507C43" w:rsidRPr="0055668A" w:rsidRDefault="00507C43" w:rsidP="002A53C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507C43" w:rsidRPr="0055668A" w14:paraId="076C78EE" w14:textId="77777777" w:rsidTr="002A53CD">
              <w:tc>
                <w:tcPr>
                  <w:tcW w:w="7609" w:type="dxa"/>
                </w:tcPr>
                <w:p w14:paraId="4EB16B41" w14:textId="77777777" w:rsidR="00507C43" w:rsidRPr="0055668A" w:rsidRDefault="00507C43" w:rsidP="002A53C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767ED8B" w14:textId="77777777" w:rsidR="00507C43" w:rsidRPr="0055668A" w:rsidRDefault="00507C43" w:rsidP="002A53CD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1FBB892D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8A589D" w14:textId="77777777" w:rsidR="00B87A1A" w:rsidRPr="00D013EC" w:rsidRDefault="00B87A1A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5EB880A1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72B8E55" w14:textId="45A4A1B8" w:rsidR="00B87A1A" w:rsidRDefault="00B87A1A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381" w:type="dxa"/>
        <w:tblLook w:val="04A0" w:firstRow="1" w:lastRow="0" w:firstColumn="1" w:lastColumn="0" w:noHBand="0" w:noVBand="1"/>
      </w:tblPr>
      <w:tblGrid>
        <w:gridCol w:w="4820"/>
        <w:gridCol w:w="4561"/>
      </w:tblGrid>
      <w:tr w:rsidR="00B87A1A" w:rsidRPr="00515B49" w14:paraId="5F72BD56" w14:textId="77777777" w:rsidTr="005D0050">
        <w:tc>
          <w:tcPr>
            <w:tcW w:w="4820" w:type="dxa"/>
            <w:shd w:val="clear" w:color="auto" w:fill="auto"/>
          </w:tcPr>
          <w:p w14:paraId="028EBEEE" w14:textId="77777777" w:rsidR="00B87A1A" w:rsidRPr="00B87A1A" w:rsidRDefault="00B87A1A" w:rsidP="00B87A1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87A1A">
              <w:rPr>
                <w:rFonts w:ascii="Verdana" w:hAnsi="Verdana"/>
                <w:b/>
                <w:sz w:val="20"/>
                <w:szCs w:val="20"/>
              </w:rPr>
              <w:t>ПРОДАВЕЦ</w:t>
            </w:r>
          </w:p>
          <w:p w14:paraId="393F6104" w14:textId="77777777" w:rsidR="00B87A1A" w:rsidRPr="00B87A1A" w:rsidRDefault="00B87A1A" w:rsidP="00B87A1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87A1A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58A0D193" w14:textId="77777777" w:rsid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8B82995" w14:textId="571841CA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1C1FEFAE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103AA2AE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347FB717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29FCAF1" w14:textId="77777777" w:rsidR="00B87A1A" w:rsidRPr="006845BD" w:rsidRDefault="00B87A1A" w:rsidP="006845B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 xml:space="preserve">Кор/счет № 30101810345250000635 в ГУ Банка России по Центральному </w:t>
            </w:r>
            <w:r w:rsidRPr="006845BD">
              <w:rPr>
                <w:rFonts w:ascii="Verdana" w:hAnsi="Verdana" w:cs="Arial"/>
                <w:sz w:val="20"/>
                <w:szCs w:val="20"/>
              </w:rPr>
              <w:t>Федеральному</w:t>
            </w:r>
            <w:r w:rsidRPr="006845BD">
              <w:rPr>
                <w:rFonts w:ascii="Verdana" w:hAnsi="Verdana"/>
                <w:sz w:val="20"/>
                <w:szCs w:val="20"/>
              </w:rPr>
              <w:t xml:space="preserve"> Округу</w:t>
            </w:r>
          </w:p>
          <w:p w14:paraId="6739545E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Реквизиты для перечисления средств по договору купли – продажи покупателя ____________________________________</w:t>
            </w:r>
          </w:p>
          <w:p w14:paraId="1D668BAB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л/с ____________________________</w:t>
            </w:r>
          </w:p>
          <w:p w14:paraId="0208D9B8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28951CF8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7B85279D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E4DBADB" w14:textId="77777777" w:rsidR="00B87A1A" w:rsidRPr="006845BD" w:rsidRDefault="00B87A1A" w:rsidP="006845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845BD">
              <w:rPr>
                <w:rFonts w:ascii="Verdana" w:hAnsi="Verdana"/>
                <w:sz w:val="20"/>
                <w:szCs w:val="20"/>
              </w:rPr>
              <w:t>к/с 30101810345250000635</w:t>
            </w:r>
          </w:p>
          <w:p w14:paraId="4706311C" w14:textId="77777777" w:rsidR="00B87A1A" w:rsidRPr="00B87A1A" w:rsidRDefault="00B87A1A" w:rsidP="00B87A1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</w:tcPr>
          <w:p w14:paraId="5396D8EF" w14:textId="77777777" w:rsidR="00B87A1A" w:rsidRPr="00B87A1A" w:rsidRDefault="00B87A1A" w:rsidP="00B87A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A1A">
              <w:rPr>
                <w:rFonts w:ascii="Verdana" w:hAnsi="Verdana"/>
                <w:b/>
                <w:sz w:val="20"/>
                <w:szCs w:val="20"/>
              </w:rPr>
              <w:t>ПОКУПАТЕЛЬ</w:t>
            </w:r>
          </w:p>
          <w:p w14:paraId="5D0D39E4" w14:textId="77777777" w:rsidR="00B87A1A" w:rsidRPr="00B87A1A" w:rsidRDefault="00B87A1A" w:rsidP="005670C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  <w:tr w:rsidR="004816A7" w:rsidRPr="008509DF" w14:paraId="1B841C21" w14:textId="77777777" w:rsidTr="005D0050">
        <w:tc>
          <w:tcPr>
            <w:tcW w:w="4820" w:type="dxa"/>
            <w:shd w:val="clear" w:color="auto" w:fill="auto"/>
          </w:tcPr>
          <w:p w14:paraId="31C471DA" w14:textId="0510C892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</w:tcPr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368349CC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6845BD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Иванова Н.А.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6845B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3B0A" w:rsidRPr="00CC3B0A" w14:paraId="1E69AFF3" w14:textId="77777777" w:rsidTr="00B26921">
        <w:tc>
          <w:tcPr>
            <w:tcW w:w="5000" w:type="pct"/>
          </w:tcPr>
          <w:p w14:paraId="57093E67" w14:textId="77777777" w:rsidR="0055668A" w:rsidRDefault="0055668A" w:rsidP="00B2692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1DF7536D" w:rsidR="00CC3B0A" w:rsidRPr="00CC3B0A" w:rsidRDefault="00B26921" w:rsidP="00B2692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дальнейшем «Продавец», в лице</w:t>
            </w:r>
            <w:r w:rsidRPr="00733070">
              <w:rPr>
                <w:sz w:val="24"/>
              </w:rPr>
              <w:t xml:space="preserve"> </w:t>
            </w:r>
            <w:r w:rsidRPr="0031068F">
              <w:rPr>
                <w:sz w:val="24"/>
                <w:szCs w:val="24"/>
              </w:rPr>
              <w:t xml:space="preserve">Ивановой Наталии Александровны, действующей на основании Доверенности № </w:t>
            </w:r>
            <w:r>
              <w:rPr>
                <w:sz w:val="24"/>
                <w:szCs w:val="24"/>
              </w:rPr>
              <w:t>92</w:t>
            </w:r>
            <w:r w:rsidRPr="0031068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2021</w:t>
            </w:r>
            <w:r w:rsidRPr="0031068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</w:t>
            </w:r>
            <w:r w:rsidRPr="003106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31068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310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(удостоверена Красновым Германом</w:t>
            </w:r>
            <w:r w:rsidRPr="0031068F">
              <w:rPr>
                <w:sz w:val="24"/>
                <w:szCs w:val="24"/>
              </w:rPr>
              <w:t xml:space="preserve"> Евгеньевичем, нотариусом города Москвы</w:t>
            </w:r>
            <w:r w:rsidRPr="0031068F">
              <w:rPr>
                <w:bCs/>
                <w:kern w:val="3"/>
                <w:sz w:val="24"/>
                <w:szCs w:val="24"/>
              </w:rPr>
              <w:t xml:space="preserve">, </w:t>
            </w:r>
            <w:r w:rsidRPr="0031068F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а в реестре № 77/287-н/77-2021-17-802</w:t>
            </w:r>
            <w:r w:rsidRPr="0031068F">
              <w:rPr>
                <w:sz w:val="24"/>
                <w:szCs w:val="24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B338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именуемое в дальнейшем </w:t>
            </w:r>
            <w:r w:rsidRPr="00B2692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</w:t>
            </w:r>
            <w:r w:rsidRPr="00B338D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»</w:t>
            </w:r>
            <w:r w:rsidRPr="00CD48E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</w:tc>
      </w:tr>
    </w:tbl>
    <w:p w14:paraId="495D127C" w14:textId="2D93CA8E" w:rsidR="00DD5861" w:rsidRPr="008509DF" w:rsidRDefault="00DD5861" w:rsidP="00B2692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5A1F4A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D0050" w:rsidRPr="005D0050">
        <w:rPr>
          <w:rFonts w:ascii="Verdana" w:eastAsia="Times New Roman" w:hAnsi="Verdana" w:cs="Times New Roman"/>
          <w:sz w:val="20"/>
          <w:szCs w:val="20"/>
          <w:lang w:eastAsia="ru-RU"/>
        </w:rPr>
        <w:t>квартиру площадью 49,8 кв. м., расположенную по адресу: Самарская обл., г. Тольятти, ул. Толстого, д. 24, кв. 187, кадастровый номер 63:09:0301166:2416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1122271E" w14:textId="40FED1C7" w:rsidR="005D0050" w:rsidRPr="008509DF" w:rsidRDefault="00DD5861" w:rsidP="005D0050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  <w:r w:rsidR="005D0050" w:rsidRPr="005D00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D005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 w:rsidR="005D0050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="005D005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6437247" w14:textId="77777777" w:rsidR="005D0050" w:rsidRPr="008509DF" w:rsidRDefault="005D0050" w:rsidP="005D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4483F977" w14:textId="77777777" w:rsidR="005D0050" w:rsidRPr="008509DF" w:rsidRDefault="005D0050" w:rsidP="005D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60624BF" w14:textId="77777777" w:rsidR="005D0050" w:rsidRPr="008509DF" w:rsidRDefault="005D0050" w:rsidP="005D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4BC770D" w14:textId="77777777" w:rsidR="005D0050" w:rsidRPr="008509DF" w:rsidRDefault="005D0050" w:rsidP="005D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3056A99" w14:textId="4D2FE206" w:rsidR="00DD5861" w:rsidRPr="008509DF" w:rsidRDefault="005D0050" w:rsidP="005D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F59CF7C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78067F95" w:rsidR="00686D08" w:rsidRPr="000C2791" w:rsidRDefault="00686D08" w:rsidP="005D00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D0050">
        <w:rPr>
          <w:rFonts w:ascii="Verdana" w:eastAsia="SimSun" w:hAnsi="Verdana"/>
          <w:kern w:val="1"/>
          <w:lang w:eastAsia="hi-IN" w:bidi="hi-IN"/>
        </w:rPr>
        <w:t>45</w:t>
      </w:r>
      <w:r w:rsidRPr="005D0050">
        <w:rPr>
          <w:rFonts w:ascii="Verdana" w:eastAsia="SimSun" w:hAnsi="Verdana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3CED96C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DE556E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494796C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5D0050">
        <w:rPr>
          <w:rFonts w:ascii="Verdana" w:hAnsi="Verdana"/>
          <w:i/>
          <w:color w:val="0070C0"/>
        </w:rPr>
        <w:t>Продавец 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5D0050">
        <w:rPr>
          <w:rFonts w:ascii="Verdana" w:hAnsi="Verdana"/>
          <w:i/>
          <w:color w:val="0070C0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</w:t>
      </w:r>
      <w:r w:rsidR="005D0050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EDC4EDF" w14:textId="77777777" w:rsidR="003F6516" w:rsidRPr="003B21F7" w:rsidRDefault="003F6516" w:rsidP="003F6516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21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покупке за счет кредитных </w:t>
      </w:r>
      <w:proofErr w:type="gramStart"/>
      <w:r w:rsidRPr="003B21F7">
        <w:rPr>
          <w:rFonts w:ascii="Verdana" w:eastAsia="Times New Roman" w:hAnsi="Verdana" w:cs="Times New Roman"/>
          <w:sz w:val="20"/>
          <w:szCs w:val="20"/>
          <w:lang w:eastAsia="ru-RU"/>
        </w:rPr>
        <w:t>средств  в</w:t>
      </w:r>
      <w:proofErr w:type="gramEnd"/>
      <w:r w:rsidRPr="003B21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выписки из ЕГРН в графе «ограничение (обременение) права должна быть отражена информация о залоге в пользу  Кредитора.</w:t>
      </w:r>
    </w:p>
    <w:p w14:paraId="24CAA079" w14:textId="77777777" w:rsidR="003F6516" w:rsidRPr="008509DF" w:rsidRDefault="003F6516" w:rsidP="003F651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21F7">
        <w:rPr>
          <w:rFonts w:ascii="Verdana" w:hAnsi="Verdana"/>
        </w:rPr>
        <w:lastRenderedPageBreak/>
        <w:t>В случае приостановки процесса регистрации перехода права собственности или отказа в регистрации органом, осуществляющим</w:t>
      </w:r>
      <w:r w:rsidRPr="008509DF">
        <w:rPr>
          <w:rFonts w:ascii="Verdana" w:hAnsi="Verdana"/>
        </w:rPr>
        <w:t xml:space="preserve">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93C97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Pr="008509DF">
        <w:rPr>
          <w:rFonts w:ascii="Verdana" w:hAnsi="Verdana"/>
        </w:rPr>
        <w:t>.</w:t>
      </w:r>
    </w:p>
    <w:p w14:paraId="0C7B052C" w14:textId="77777777" w:rsidR="003F6516" w:rsidRPr="00A72651" w:rsidRDefault="003F6516" w:rsidP="003F651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93C97">
        <w:rPr>
          <w:rFonts w:ascii="Verdana" w:hAnsi="Verdana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668219D6" w14:textId="77777777" w:rsidR="003F6516" w:rsidRPr="00A72651" w:rsidRDefault="003F6516" w:rsidP="003F6516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0C8B7952" w14:textId="28261111" w:rsidR="00334E8F" w:rsidRPr="00035ED5" w:rsidRDefault="003F6516" w:rsidP="003F651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</w:t>
      </w:r>
      <w:proofErr w:type="spellStart"/>
      <w:r w:rsidRPr="00A72651">
        <w:rPr>
          <w:rFonts w:ascii="Verdana" w:hAnsi="Verdana"/>
        </w:rPr>
        <w:t>порядке</w:t>
      </w:r>
      <w:proofErr w:type="gramStart"/>
      <w:r>
        <w:rPr>
          <w:rFonts w:ascii="Verdana" w:hAnsi="Verdana"/>
        </w:rPr>
        <w:t>»</w:t>
      </w:r>
      <w:r w:rsidRPr="00A72651">
        <w:rPr>
          <w:rFonts w:ascii="Verdana" w:hAnsi="Verdana"/>
        </w:rPr>
        <w:t>.</w:t>
      </w:r>
      <w:r w:rsidR="00334E8F" w:rsidRPr="00035ED5">
        <w:rPr>
          <w:rFonts w:ascii="Verdana" w:hAnsi="Verdana"/>
        </w:rPr>
        <w:t>Расчеты</w:t>
      </w:r>
      <w:proofErr w:type="spellEnd"/>
      <w:proofErr w:type="gramEnd"/>
      <w:r w:rsidR="00334E8F" w:rsidRPr="00035ED5">
        <w:rPr>
          <w:rFonts w:ascii="Verdana" w:hAnsi="Verdana"/>
        </w:rPr>
        <w:t xml:space="preserve">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C5541B4" w14:textId="77777777" w:rsidR="00C417F9" w:rsidRDefault="00C417F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C67A322" w14:textId="55BD60AF" w:rsidR="00686D08" w:rsidRPr="008509DF" w:rsidRDefault="00686D08" w:rsidP="00C417F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C417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Иванова Н.А.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7B6D392" w14:textId="4D0B5DAF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ПОКУПАТЕЛЯ:   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5"/>
          <w:rFonts w:ascii="Verdana" w:hAnsi="Verdana"/>
          <w:i/>
          <w:color w:val="0070C0"/>
          <w:sz w:val="20"/>
          <w:szCs w:val="20"/>
        </w:rPr>
        <w:footnoteReference w:id="3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0427" w14:textId="77777777" w:rsidR="0010369A" w:rsidRDefault="0010369A" w:rsidP="00E33D4F">
      <w:pPr>
        <w:spacing w:after="0" w:line="240" w:lineRule="auto"/>
      </w:pPr>
      <w:r>
        <w:separator/>
      </w:r>
    </w:p>
  </w:endnote>
  <w:endnote w:type="continuationSeparator" w:id="0">
    <w:p w14:paraId="1E070A59" w14:textId="77777777" w:rsidR="0010369A" w:rsidRDefault="0010369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170A900" w:rsidR="0010369A" w:rsidRDefault="001036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AA">
          <w:rPr>
            <w:noProof/>
          </w:rPr>
          <w:t>7</w:t>
        </w:r>
        <w:r>
          <w:fldChar w:fldCharType="end"/>
        </w:r>
      </w:p>
    </w:sdtContent>
  </w:sdt>
  <w:p w14:paraId="0AC1054C" w14:textId="77777777" w:rsidR="0010369A" w:rsidRDefault="001036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566B2" w14:textId="77777777" w:rsidR="0010369A" w:rsidRDefault="0010369A" w:rsidP="00E33D4F">
      <w:pPr>
        <w:spacing w:after="0" w:line="240" w:lineRule="auto"/>
      </w:pPr>
      <w:r>
        <w:separator/>
      </w:r>
    </w:p>
  </w:footnote>
  <w:footnote w:type="continuationSeparator" w:id="0">
    <w:p w14:paraId="702AD9FB" w14:textId="77777777" w:rsidR="0010369A" w:rsidRDefault="0010369A" w:rsidP="00E33D4F">
      <w:pPr>
        <w:spacing w:after="0" w:line="240" w:lineRule="auto"/>
      </w:pPr>
      <w:r>
        <w:continuationSeparator/>
      </w:r>
    </w:p>
  </w:footnote>
  <w:footnote w:id="1">
    <w:p w14:paraId="38D0D7A0" w14:textId="00A6B204" w:rsidR="0010369A" w:rsidRDefault="0010369A" w:rsidP="00435063">
      <w:pPr>
        <w:pStyle w:val="af3"/>
        <w:jc w:val="both"/>
      </w:pPr>
      <w:r>
        <w:rPr>
          <w:rStyle w:val="af5"/>
        </w:rPr>
        <w:footnoteRef/>
      </w:r>
      <w:r>
        <w:t xml:space="preserve"> При наличии иных обременений, кроме аренды, например, сервитуты, объекты культурного наследия и т.п., их перечень приводится в указанном пункте 1.5 в варианте 2 наряду с арендой, либо выносится в отдельное приложение к ДКП</w:t>
      </w:r>
    </w:p>
  </w:footnote>
  <w:footnote w:id="2">
    <w:p w14:paraId="1EE93F55" w14:textId="153BE51A" w:rsidR="0010369A" w:rsidRPr="00D03FB6" w:rsidRDefault="001036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0369A" w:rsidRPr="00D03FB6" w:rsidRDefault="0010369A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7C1A3F1F" w14:textId="4C9A0896" w:rsidR="0010369A" w:rsidRPr="008070A5" w:rsidRDefault="0010369A" w:rsidP="00AB6617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5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10369A" w:rsidRDefault="0010369A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E9E"/>
    <w:multiLevelType w:val="multilevel"/>
    <w:tmpl w:val="2B14124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E84C6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18942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C095BB1"/>
    <w:multiLevelType w:val="multilevel"/>
    <w:tmpl w:val="C43A59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6FF71D03"/>
    <w:multiLevelType w:val="hybridMultilevel"/>
    <w:tmpl w:val="6AF2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5E22682"/>
    <w:multiLevelType w:val="hybridMultilevel"/>
    <w:tmpl w:val="B6602E26"/>
    <w:lvl w:ilvl="0" w:tplc="4842A1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5"/>
  </w:num>
  <w:num w:numId="30">
    <w:abstractNumId w:val="27"/>
  </w:num>
  <w:num w:numId="31">
    <w:abstractNumId w:val="22"/>
  </w:num>
  <w:num w:numId="32">
    <w:abstractNumId w:val="2"/>
  </w:num>
  <w:num w:numId="33">
    <w:abstractNumId w:val="7"/>
  </w:num>
  <w:num w:numId="34">
    <w:abstractNumId w:val="30"/>
  </w:num>
  <w:num w:numId="35">
    <w:abstractNumId w:val="1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C92"/>
    <w:rsid w:val="00046D8F"/>
    <w:rsid w:val="00046E6A"/>
    <w:rsid w:val="00046F99"/>
    <w:rsid w:val="000522A7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3F1D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8C5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6E5F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0899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6516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69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1B6F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07C43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0050"/>
    <w:rsid w:val="005D1621"/>
    <w:rsid w:val="005D1C55"/>
    <w:rsid w:val="005D3FCF"/>
    <w:rsid w:val="005D49B8"/>
    <w:rsid w:val="005D6FB4"/>
    <w:rsid w:val="005D77AA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099B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5BD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4B09"/>
    <w:rsid w:val="006A7521"/>
    <w:rsid w:val="006B18FF"/>
    <w:rsid w:val="006B245E"/>
    <w:rsid w:val="006B26BF"/>
    <w:rsid w:val="006C0A8A"/>
    <w:rsid w:val="006C242C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55E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832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2A21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338F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4350"/>
    <w:rsid w:val="00B26921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87A1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17F9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1C13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0DBE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0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46C92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1CF6-A082-4EA3-9223-A738F96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Кундебин Алексей Геннадьевич</cp:lastModifiedBy>
  <cp:revision>8</cp:revision>
  <cp:lastPrinted>2019-10-21T13:14:00Z</cp:lastPrinted>
  <dcterms:created xsi:type="dcterms:W3CDTF">2021-08-04T08:52:00Z</dcterms:created>
  <dcterms:modified xsi:type="dcterms:W3CDTF">2021-08-04T09:27:00Z</dcterms:modified>
</cp:coreProperties>
</file>