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>ДОГОВОР</w:t>
      </w:r>
    </w:p>
    <w:p w14:paraId="225CBBD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 xml:space="preserve">купли-продажи </w:t>
      </w:r>
    </w:p>
    <w:p w14:paraId="5A9F6CFD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 xml:space="preserve">____________________________ две тысячи двадцать первого года </w:t>
      </w:r>
    </w:p>
    <w:p w14:paraId="31251B19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>г. Санкт-Петербург</w:t>
      </w:r>
    </w:p>
    <w:p w14:paraId="778D6B37" w14:textId="77777777" w:rsidR="00317BB9" w:rsidRPr="00317BB9" w:rsidRDefault="00317BB9" w:rsidP="00317BB9">
      <w:pPr>
        <w:spacing w:line="240" w:lineRule="atLeast"/>
        <w:ind w:left="2832" w:hanging="2832"/>
        <w:jc w:val="both"/>
        <w:rPr>
          <w:sz w:val="25"/>
          <w:szCs w:val="25"/>
        </w:rPr>
      </w:pPr>
      <w:r w:rsidRPr="00317BB9">
        <w:rPr>
          <w:sz w:val="25"/>
          <w:szCs w:val="25"/>
        </w:rPr>
        <w:tab/>
        <w:t xml:space="preserve"> </w:t>
      </w:r>
    </w:p>
    <w:p w14:paraId="075714B8" w14:textId="7D5ACACB" w:rsidR="00317BB9" w:rsidRPr="00317BB9" w:rsidRDefault="00590D91" w:rsidP="00317BB9">
      <w:pPr>
        <w:ind w:firstLine="709"/>
        <w:jc w:val="both"/>
        <w:rPr>
          <w:sz w:val="25"/>
          <w:szCs w:val="25"/>
        </w:rPr>
      </w:pPr>
      <w:r w:rsidRPr="00590D91">
        <w:rPr>
          <w:sz w:val="25"/>
          <w:szCs w:val="25"/>
          <w:shd w:val="clear" w:color="auto" w:fill="FFFFFF"/>
        </w:rPr>
        <w:t xml:space="preserve">ООО «Перепёлочка» (Ленинградская область, Гатчинский район, пос. </w:t>
      </w:r>
      <w:proofErr w:type="spellStart"/>
      <w:r w:rsidRPr="00590D91">
        <w:rPr>
          <w:sz w:val="25"/>
          <w:szCs w:val="25"/>
          <w:shd w:val="clear" w:color="auto" w:fill="FFFFFF"/>
        </w:rPr>
        <w:t>Терволово</w:t>
      </w:r>
      <w:proofErr w:type="spellEnd"/>
      <w:r w:rsidRPr="00590D91">
        <w:rPr>
          <w:sz w:val="25"/>
          <w:szCs w:val="25"/>
          <w:shd w:val="clear" w:color="auto" w:fill="FFFFFF"/>
        </w:rPr>
        <w:t xml:space="preserve">, ул. Ленинградская, д. 15, ОГРН 1044702085834 , ИНН 4719025562; конкурсное производство открыто решением Арбитражного суда г. Санкт-Петербурга и Ленинградской области от 22.06.2020 г. по делу №А56-100046/2019, далее – Должник), в лице конкурсного управляющего </w:t>
      </w:r>
      <w:proofErr w:type="spellStart"/>
      <w:r w:rsidRPr="00590D91">
        <w:rPr>
          <w:sz w:val="25"/>
          <w:szCs w:val="25"/>
          <w:shd w:val="clear" w:color="auto" w:fill="FFFFFF"/>
        </w:rPr>
        <w:t>Авхадиевой</w:t>
      </w:r>
      <w:proofErr w:type="spellEnd"/>
      <w:r w:rsidRPr="00590D91">
        <w:rPr>
          <w:sz w:val="25"/>
          <w:szCs w:val="25"/>
          <w:shd w:val="clear" w:color="auto" w:fill="FFFFFF"/>
        </w:rPr>
        <w:t xml:space="preserve"> Юлией </w:t>
      </w:r>
      <w:proofErr w:type="spellStart"/>
      <w:r w:rsidRPr="00590D91">
        <w:rPr>
          <w:sz w:val="25"/>
          <w:szCs w:val="25"/>
          <w:shd w:val="clear" w:color="auto" w:fill="FFFFFF"/>
        </w:rPr>
        <w:t>Ильдаровной</w:t>
      </w:r>
      <w:proofErr w:type="spellEnd"/>
      <w:r w:rsidRPr="00590D91">
        <w:rPr>
          <w:sz w:val="25"/>
          <w:szCs w:val="25"/>
          <w:shd w:val="clear" w:color="auto" w:fill="FFFFFF"/>
        </w:rPr>
        <w:t xml:space="preserve"> (ИНН 183405755369 , СНИЛС 172-727-618 86), действующего на основании </w:t>
      </w:r>
      <w:proofErr w:type="spellStart"/>
      <w:r w:rsidRPr="00590D91">
        <w:rPr>
          <w:sz w:val="25"/>
          <w:szCs w:val="25"/>
          <w:shd w:val="clear" w:color="auto" w:fill="FFFFFF"/>
        </w:rPr>
        <w:t>решениея</w:t>
      </w:r>
      <w:proofErr w:type="spellEnd"/>
      <w:r w:rsidRPr="00590D91">
        <w:rPr>
          <w:sz w:val="25"/>
          <w:szCs w:val="25"/>
          <w:shd w:val="clear" w:color="auto" w:fill="FFFFFF"/>
        </w:rPr>
        <w:t xml:space="preserve"> Арбитражного суда г. Санкт-Петербурга и Ленинградской обл. № А56-14458/2019 от 02.04.2019</w:t>
      </w:r>
      <w:r w:rsidR="00317BB9" w:rsidRPr="00317BB9">
        <w:rPr>
          <w:sz w:val="25"/>
          <w:szCs w:val="25"/>
          <w:shd w:val="clear" w:color="auto" w:fill="FFFFFF"/>
        </w:rPr>
        <w:t>, с одной стороны</w:t>
      </w:r>
      <w:r w:rsidR="00317BB9" w:rsidRPr="00317BB9">
        <w:rPr>
          <w:sz w:val="25"/>
          <w:szCs w:val="25"/>
        </w:rPr>
        <w:t>, и</w:t>
      </w:r>
    </w:p>
    <w:p w14:paraId="32C29483" w14:textId="77777777" w:rsidR="00317BB9" w:rsidRPr="00317BB9" w:rsidRDefault="00317BB9" w:rsidP="00317BB9">
      <w:pPr>
        <w:ind w:firstLine="709"/>
        <w:jc w:val="both"/>
        <w:rPr>
          <w:sz w:val="25"/>
          <w:szCs w:val="25"/>
        </w:rPr>
      </w:pPr>
      <w:r w:rsidRPr="00317BB9">
        <w:rPr>
          <w:sz w:val="25"/>
          <w:szCs w:val="25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17BB9">
        <w:rPr>
          <w:kern w:val="28"/>
          <w:sz w:val="25"/>
          <w:szCs w:val="25"/>
        </w:rPr>
        <w:t>с другой стороны</w:t>
      </w:r>
      <w:r w:rsidRPr="00317BB9">
        <w:rPr>
          <w:sz w:val="25"/>
          <w:szCs w:val="25"/>
        </w:rPr>
        <w:t xml:space="preserve">, при совместном упоминании именуемые также «Стороны», заключили настоящий договор (далее – </w:t>
      </w:r>
      <w:r w:rsidRPr="00317BB9">
        <w:rPr>
          <w:b/>
          <w:sz w:val="25"/>
          <w:szCs w:val="25"/>
        </w:rPr>
        <w:t>«Договор»</w:t>
      </w:r>
      <w:r w:rsidRPr="00317BB9">
        <w:rPr>
          <w:sz w:val="25"/>
          <w:szCs w:val="25"/>
        </w:rPr>
        <w:t>) о нижеследующем:</w:t>
      </w:r>
    </w:p>
    <w:p w14:paraId="6DC82BDF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5"/>
          <w:szCs w:val="25"/>
        </w:rPr>
      </w:pPr>
    </w:p>
    <w:p w14:paraId="3347F263" w14:textId="77777777" w:rsidR="00317BB9" w:rsidRPr="00317BB9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Предмет договора</w:t>
      </w:r>
    </w:p>
    <w:p w14:paraId="6A2A9ADA" w14:textId="77777777" w:rsidR="00317BB9" w:rsidRPr="00317BB9" w:rsidRDefault="00317BB9" w:rsidP="00317BB9">
      <w:pPr>
        <w:spacing w:line="240" w:lineRule="atLeast"/>
        <w:rPr>
          <w:b/>
          <w:sz w:val="25"/>
          <w:szCs w:val="25"/>
        </w:rPr>
      </w:pPr>
    </w:p>
    <w:p w14:paraId="7F8383B2" w14:textId="09CEFB70" w:rsidR="00317BB9" w:rsidRPr="000456D5" w:rsidRDefault="00317BB9" w:rsidP="000456D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0"/>
        <w:jc w:val="both"/>
        <w:rPr>
          <w:rFonts w:ascii="Times New Roman" w:hAnsi="Times New Roman" w:cs="Times New Roman"/>
          <w:kern w:val="28"/>
          <w:sz w:val="25"/>
          <w:szCs w:val="25"/>
        </w:rPr>
      </w:pPr>
      <w:r w:rsidRPr="000456D5">
        <w:rPr>
          <w:rFonts w:ascii="Times New Roman" w:hAnsi="Times New Roman" w:cs="Times New Roman"/>
          <w:kern w:val="28"/>
          <w:sz w:val="25"/>
          <w:szCs w:val="25"/>
        </w:rPr>
        <w:t xml:space="preserve">Продавец обязуется передать в собственность Покупателя, а Покупатель </w:t>
      </w:r>
      <w:r w:rsidRPr="000456D5">
        <w:rPr>
          <w:rFonts w:ascii="Times New Roman" w:hAnsi="Times New Roman" w:cs="Times New Roman"/>
          <w:sz w:val="25"/>
          <w:szCs w:val="25"/>
        </w:rPr>
        <w:t>обязуется принять и оплатить в соответствии с условиями настоящего Договора следующие объект</w:t>
      </w:r>
      <w:r w:rsidR="00824352">
        <w:rPr>
          <w:rFonts w:ascii="Times New Roman" w:hAnsi="Times New Roman" w:cs="Times New Roman"/>
          <w:sz w:val="25"/>
          <w:szCs w:val="25"/>
        </w:rPr>
        <w:t>ы</w:t>
      </w:r>
      <w:bookmarkStart w:id="0" w:name="_GoBack"/>
      <w:bookmarkEnd w:id="0"/>
      <w:r w:rsidRPr="000456D5">
        <w:rPr>
          <w:rFonts w:ascii="Times New Roman" w:hAnsi="Times New Roman" w:cs="Times New Roman"/>
          <w:sz w:val="25"/>
          <w:szCs w:val="25"/>
        </w:rPr>
        <w:t xml:space="preserve"> имущества</w:t>
      </w:r>
      <w:r w:rsidRPr="000456D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456D5">
        <w:rPr>
          <w:rFonts w:ascii="Times New Roman" w:hAnsi="Times New Roman" w:cs="Times New Roman"/>
          <w:sz w:val="25"/>
          <w:szCs w:val="25"/>
        </w:rPr>
        <w:t xml:space="preserve">(далее - </w:t>
      </w:r>
      <w:r w:rsidRPr="000456D5">
        <w:rPr>
          <w:rFonts w:ascii="Times New Roman" w:hAnsi="Times New Roman" w:cs="Times New Roman"/>
          <w:b/>
          <w:sz w:val="25"/>
          <w:szCs w:val="25"/>
        </w:rPr>
        <w:t>ИМУЩЕСТВО</w:t>
      </w:r>
      <w:r w:rsidRPr="000456D5">
        <w:rPr>
          <w:rFonts w:ascii="Times New Roman" w:hAnsi="Times New Roman" w:cs="Times New Roman"/>
          <w:sz w:val="25"/>
          <w:szCs w:val="25"/>
        </w:rPr>
        <w:t>), принадлежащие на праве собственности Продавцу:</w:t>
      </w:r>
      <w:r w:rsidRPr="000456D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Нежилое здание (птичник №5, инкубатор и родительский цех), площадь 1 061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47:23:0218001:131,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1; Нежилое здание (птичник Р2), площадь 1 057,1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47:23:0218004:73,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2; Нежилое здание (птичник Р3), площадь 1 044,9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47:23:0218001:127,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3; Нежилое здание (склад), площадь 40,6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47:23:0260001:234,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8; </w:t>
      </w:r>
      <w:r w:rsidR="000456D5" w:rsidRPr="000456D5">
        <w:rPr>
          <w:sz w:val="25"/>
          <w:szCs w:val="25"/>
          <w:u w:val="single"/>
        </w:rPr>
        <w:t>Нежилое здание (</w:t>
      </w:r>
      <w:proofErr w:type="spellStart"/>
      <w:r w:rsidR="000456D5" w:rsidRPr="000456D5">
        <w:rPr>
          <w:sz w:val="25"/>
          <w:szCs w:val="25"/>
          <w:u w:val="single"/>
        </w:rPr>
        <w:t>санкпропускник</w:t>
      </w:r>
      <w:proofErr w:type="spellEnd"/>
      <w:r w:rsidR="000456D5" w:rsidRPr="000456D5">
        <w:rPr>
          <w:sz w:val="25"/>
          <w:szCs w:val="25"/>
          <w:u w:val="single"/>
        </w:rPr>
        <w:t xml:space="preserve">), площадь 453,5 </w:t>
      </w:r>
      <w:proofErr w:type="spellStart"/>
      <w:r w:rsidR="000456D5" w:rsidRPr="000456D5">
        <w:rPr>
          <w:sz w:val="25"/>
          <w:szCs w:val="25"/>
          <w:u w:val="single"/>
        </w:rPr>
        <w:t>кв.м</w:t>
      </w:r>
      <w:proofErr w:type="spellEnd"/>
      <w:r w:rsidR="000456D5" w:rsidRPr="000456D5">
        <w:rPr>
          <w:sz w:val="25"/>
          <w:szCs w:val="25"/>
          <w:u w:val="single"/>
        </w:rPr>
        <w:t xml:space="preserve">, кадастровый номер 47:23:0218001:129, адрес: Ленинградская обл., Гатчинский район, пос. </w:t>
      </w:r>
      <w:proofErr w:type="spellStart"/>
      <w:r w:rsidR="000456D5" w:rsidRPr="000456D5">
        <w:rPr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sz w:val="25"/>
          <w:szCs w:val="25"/>
          <w:u w:val="single"/>
        </w:rPr>
        <w:t xml:space="preserve">, ул. Ленинградская, д. 15/20, корп. 7; </w:t>
      </w:r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Нежилое здание (птичник №6, залы 6.1, 6.2), площадь 1 008,9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47:23:0260001:204,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6; Нежилое здание (птичник №4, залы 4.1, 4.2), площадь 1 008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47:23:0260001:202,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4; Нежилое здание (птичник Р1), площадь 1 005,7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47:23:0260001:203,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15/20, корп. 5; Земельный участок с/х назначения, разрешенное использование: для с/х производства, площадь 62 215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номер: 47:23:0260001:175,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15/20; Нежилое здание (убойный цех здание птичника №5), площадь 1 499,6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 47:23:0218001:87,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ул. Ленинградская, д. 15/21, корп. 1; Земельный участок с/х назначения, разрешенное использование: для с/х производства, площадь 9 481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кв.м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, кадастровый номер: 47:23:0260001:187, адрес: Ленинградская обл., Гатчинский район, пос.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Терволово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, ул. Ленинградская, д. 15/21; Инкубатор ИУП-Ф-45/ИУВ-Ф-15 (с металлопласт.  дверьми); Инкубатор ИУП-Ф-45/ИУВ-Ф-15 (с металлопласт. дверьми); Инкубатор ИУВ-Ф-</w:t>
      </w:r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lastRenderedPageBreak/>
        <w:t xml:space="preserve">15; Инкубатор Стимул-4000-У (предварительный); Инкубатор Стимул-4000-У (предварительный); Инкубатор Стимул-4000-У (выводной); Комплект технологического оборудования для клеточного содержания молодняка перепелок (спец.2.2); Комплект технологического оборудования для клеточного содержания молодняка перепелок (спец. 2.3); Комплект технологического оборудования для клеточного содержания молодняка перепелок (спец.2.4); Комплект технологического оборудования для клеточного содержания молодняка перепелок (спец.2.5); Комплект технологического оборудования для клеточного содержания перепелок (спец.2.6); Комплект технологического оборудования для клеточного содержания перепелок-несушек (спец.2.7); Комплект технологического оборудования для клеточного содержания родительского стада; КВИ-4ПР-Ф1; Комплект технологического оборудования для клеточного содержания КВИ-5ПН на 127300; Воздухонагреватель газовый пт.6.1; Воздухонагреватель газовый пт.6.2; Воздухонагреватель газовый пт.4.1; Воздухонагреватель газовый пт.4.2; Газовый воздухонагреватель GP070AB25PO1AARU; Газовый воздухонагреватель GP070AB25PO1AARU; Технологическое оборудование убойного цеха; Оборудование для дезинфекционной камеры; Оборудование для выгрузки отходов убойного цеха; Оборудование для камеры хранения инкубационного яйца; КТП 2073 (Комплектная трансформаторная подстанция КТП ПВ-630/10/0,4-71-У1, зав. №816); Система централизованного контроля процессом инкубации SCKIFW; Холодильная камера КХ-236*2,4*2,2; Холодильное оборудование в сборе; Электрокалорифер с вентилятором; СФО-33/16 УХЛ 3; Устройство для сбора яиц (УСЯ); Устройство для сбора яиц (УСЯ); Устройство для сбора яиц (УСЯ); Устройство для сбора яиц (УСЯ); Котел газовый Лемакс-50; Котёл газовый "Лучик"; Котёл газовый "Лучик"; Котел газовый ШЛА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Comfort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 310; Котел газовый ИШМА-50; Котёл ИШМА 50; Котел газовый ИШМА-50 1; Котел газовый ИШМА-50 3; Насос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Saer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 FS 98; Ванна 2400х1000х1000; Пост охраны;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Дезбарьер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; Изготовление и монтаж ограждения (Забор); Ограждение земельного участка с </w:t>
      </w:r>
      <w:proofErr w:type="spellStart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>кад.номером</w:t>
      </w:r>
      <w:proofErr w:type="spellEnd"/>
      <w:r w:rsidR="000456D5" w:rsidRPr="000456D5">
        <w:rPr>
          <w:rFonts w:ascii="Times New Roman" w:hAnsi="Times New Roman" w:cs="Times New Roman"/>
          <w:sz w:val="25"/>
          <w:szCs w:val="25"/>
          <w:u w:val="single"/>
        </w:rPr>
        <w:t xml:space="preserve"> 47:23:0260001:187; Подъездные пути к птичникам.</w:t>
      </w:r>
    </w:p>
    <w:p w14:paraId="73603015" w14:textId="77777777" w:rsidR="00317BB9" w:rsidRPr="00317BB9" w:rsidRDefault="00317BB9" w:rsidP="00317BB9">
      <w:pPr>
        <w:ind w:firstLine="426"/>
        <w:jc w:val="both"/>
        <w:rPr>
          <w:bCs/>
          <w:sz w:val="25"/>
          <w:szCs w:val="25"/>
        </w:rPr>
      </w:pPr>
      <w:r w:rsidRPr="00317BB9">
        <w:rPr>
          <w:sz w:val="25"/>
          <w:szCs w:val="25"/>
          <w:lang w:eastAsia="en-US"/>
        </w:rPr>
        <w:t xml:space="preserve">1.2. </w:t>
      </w:r>
      <w:r w:rsidRPr="00317BB9">
        <w:rPr>
          <w:sz w:val="25"/>
          <w:szCs w:val="25"/>
        </w:rPr>
        <w:t>Настоящий Договор купли-продажи заключается</w:t>
      </w:r>
      <w:r w:rsidRPr="00317BB9">
        <w:rPr>
          <w:bCs/>
          <w:sz w:val="25"/>
          <w:szCs w:val="25"/>
        </w:rPr>
        <w:t xml:space="preserve"> осуществляемой на основании </w:t>
      </w:r>
      <w:r w:rsidRPr="00317BB9">
        <w:rPr>
          <w:sz w:val="25"/>
          <w:szCs w:val="25"/>
        </w:rPr>
        <w:t xml:space="preserve">Протокола от ___________________ г. о результатах продажи в электронной форме имущества должника по лоту </w:t>
      </w:r>
      <w:r w:rsidRPr="00317BB9">
        <w:rPr>
          <w:b/>
          <w:sz w:val="25"/>
          <w:szCs w:val="25"/>
        </w:rPr>
        <w:t>-_____________</w:t>
      </w:r>
      <w:r w:rsidRPr="00317BB9">
        <w:rPr>
          <w:kern w:val="28"/>
          <w:sz w:val="25"/>
          <w:szCs w:val="25"/>
        </w:rPr>
        <w:t>.</w:t>
      </w:r>
    </w:p>
    <w:p w14:paraId="4C218F89" w14:textId="77777777" w:rsidR="00317BB9" w:rsidRPr="00317BB9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17BB9" w:rsidRDefault="00317BB9" w:rsidP="00317BB9">
      <w:pPr>
        <w:ind w:firstLine="567"/>
        <w:rPr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1.4. </w:t>
      </w:r>
      <w:r w:rsidRPr="00317BB9">
        <w:rPr>
          <w:color w:val="000000"/>
          <w:sz w:val="25"/>
          <w:szCs w:val="25"/>
        </w:rPr>
        <w:t xml:space="preserve">ИМУЩЕСТВО </w:t>
      </w:r>
      <w:r w:rsidRPr="00317BB9">
        <w:rPr>
          <w:sz w:val="25"/>
          <w:szCs w:val="25"/>
        </w:rPr>
        <w:t xml:space="preserve">находится по адресу: </w:t>
      </w:r>
    </w:p>
    <w:p w14:paraId="2BA4932B" w14:textId="77777777" w:rsidR="00317BB9" w:rsidRPr="00317BB9" w:rsidRDefault="00317BB9" w:rsidP="00317BB9">
      <w:pPr>
        <w:ind w:firstLine="567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___________________________________________________________________________</w:t>
      </w:r>
    </w:p>
    <w:p w14:paraId="63AEA99E" w14:textId="77777777" w:rsidR="00317BB9" w:rsidRPr="00317BB9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5"/>
          <w:szCs w:val="25"/>
        </w:rPr>
      </w:pPr>
    </w:p>
    <w:p w14:paraId="3EADF9CD" w14:textId="77777777" w:rsidR="00317BB9" w:rsidRPr="00317BB9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Цена и порядок расчетов</w:t>
      </w:r>
    </w:p>
    <w:p w14:paraId="3354FA6D" w14:textId="77777777" w:rsidR="00317BB9" w:rsidRPr="00317BB9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5"/>
          <w:szCs w:val="25"/>
        </w:rPr>
      </w:pPr>
    </w:p>
    <w:p w14:paraId="5E17EFF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5"/>
          <w:szCs w:val="25"/>
          <w:shd w:val="clear" w:color="auto" w:fill="FFFFFF"/>
        </w:rPr>
      </w:pPr>
      <w:r w:rsidRPr="00317BB9">
        <w:rPr>
          <w:kern w:val="28"/>
          <w:sz w:val="25"/>
          <w:szCs w:val="25"/>
        </w:rPr>
        <w:t xml:space="preserve">2.1. Цена продажи ИМУЩЕСТВА составляет </w:t>
      </w:r>
      <w:r w:rsidRPr="00317BB9">
        <w:rPr>
          <w:b/>
          <w:kern w:val="28"/>
          <w:sz w:val="25"/>
          <w:szCs w:val="25"/>
        </w:rPr>
        <w:t>______________</w:t>
      </w:r>
      <w:r w:rsidRPr="00317BB9">
        <w:rPr>
          <w:sz w:val="25"/>
          <w:szCs w:val="25"/>
        </w:rPr>
        <w:t xml:space="preserve"> </w:t>
      </w:r>
      <w:r w:rsidRPr="00317BB9">
        <w:rPr>
          <w:sz w:val="25"/>
          <w:szCs w:val="25"/>
          <w:shd w:val="clear" w:color="auto" w:fill="FFFFFF"/>
        </w:rPr>
        <w:t>(_______________________________) рубля ____ коп.</w:t>
      </w:r>
    </w:p>
    <w:p w14:paraId="575E357E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Задаток, уплаченный Покупателем организатору торгов в размере ________</w:t>
      </w:r>
      <w:r w:rsidRPr="00317BB9">
        <w:rPr>
          <w:sz w:val="25"/>
          <w:szCs w:val="25"/>
        </w:rPr>
        <w:t xml:space="preserve"> (_____________) рублей </w:t>
      </w:r>
      <w:r w:rsidRPr="00317BB9">
        <w:rPr>
          <w:kern w:val="28"/>
          <w:sz w:val="25"/>
          <w:szCs w:val="25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В цену продажи ИМУЩЕСТВА не включена стоимость его вывоза.</w:t>
      </w:r>
    </w:p>
    <w:p w14:paraId="781D862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lastRenderedPageBreak/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17BB9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7BB9">
        <w:rPr>
          <w:rFonts w:ascii="Times New Roman" w:hAnsi="Times New Roman" w:cs="Times New Roman"/>
          <w:b/>
          <w:sz w:val="25"/>
          <w:szCs w:val="25"/>
        </w:rPr>
        <w:t>Порядок передачи имущества</w:t>
      </w:r>
    </w:p>
    <w:p w14:paraId="51185861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17BB9" w:rsidRDefault="00317BB9" w:rsidP="00317BB9">
      <w:pPr>
        <w:ind w:firstLine="567"/>
        <w:rPr>
          <w:b/>
          <w:sz w:val="25"/>
          <w:szCs w:val="25"/>
        </w:rPr>
      </w:pPr>
      <w:r w:rsidRPr="00317BB9">
        <w:rPr>
          <w:sz w:val="25"/>
          <w:szCs w:val="25"/>
        </w:rPr>
        <w:t>ИМУЩЕСТВО передается Покупателю по месту его нахождения.</w:t>
      </w:r>
    </w:p>
    <w:p w14:paraId="54C0BDCB" w14:textId="77777777" w:rsidR="00317BB9" w:rsidRPr="00317BB9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5"/>
          <w:szCs w:val="25"/>
        </w:rPr>
      </w:pPr>
      <w:r w:rsidRPr="00317BB9">
        <w:rPr>
          <w:sz w:val="25"/>
          <w:szCs w:val="25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 xml:space="preserve">Право собственности на ИМУЩЕСТВО переходит к </w:t>
      </w:r>
      <w:r w:rsidRPr="00317BB9">
        <w:rPr>
          <w:rFonts w:ascii="Times New Roman" w:hAnsi="Times New Roman" w:cs="Times New Roman"/>
          <w:kern w:val="28"/>
          <w:sz w:val="25"/>
          <w:szCs w:val="25"/>
        </w:rPr>
        <w:t>Покупателю</w:t>
      </w:r>
      <w:r w:rsidRPr="00317BB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7BB9">
        <w:rPr>
          <w:rFonts w:ascii="Times New Roman" w:hAnsi="Times New Roman" w:cs="Times New Roman"/>
          <w:sz w:val="25"/>
          <w:szCs w:val="25"/>
        </w:rPr>
        <w:t xml:space="preserve">с момента </w:t>
      </w:r>
      <w:r w:rsidRPr="00317BB9">
        <w:rPr>
          <w:rFonts w:ascii="Times New Roman" w:hAnsi="Times New Roman" w:cs="Times New Roman"/>
          <w:kern w:val="28"/>
          <w:sz w:val="25"/>
          <w:szCs w:val="25"/>
        </w:rPr>
        <w:t xml:space="preserve">передачи ИМУЩЕСТВА по Акту приема-передачи в соответствии с п. 3.1. </w:t>
      </w:r>
    </w:p>
    <w:p w14:paraId="43945885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bCs/>
          <w:sz w:val="25"/>
          <w:szCs w:val="25"/>
        </w:rPr>
        <w:t xml:space="preserve"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17BB9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5"/>
          <w:szCs w:val="25"/>
        </w:rPr>
      </w:pPr>
      <w:r w:rsidRPr="00317BB9">
        <w:rPr>
          <w:sz w:val="25"/>
          <w:szCs w:val="25"/>
        </w:rPr>
        <w:t xml:space="preserve">Риск случайной гибели или </w:t>
      </w:r>
      <w:r w:rsidRPr="00317BB9">
        <w:rPr>
          <w:kern w:val="28"/>
          <w:sz w:val="25"/>
          <w:szCs w:val="25"/>
        </w:rPr>
        <w:t>случайного повреждения</w:t>
      </w:r>
      <w:r w:rsidRPr="00317BB9">
        <w:rPr>
          <w:sz w:val="25"/>
          <w:szCs w:val="25"/>
        </w:rPr>
        <w:t xml:space="preserve"> ИМУЩЕСТВА переходит </w:t>
      </w:r>
      <w:r w:rsidRPr="00317BB9">
        <w:rPr>
          <w:kern w:val="28"/>
          <w:sz w:val="25"/>
          <w:szCs w:val="25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17BB9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5"/>
          <w:szCs w:val="25"/>
        </w:rPr>
      </w:pPr>
    </w:p>
    <w:p w14:paraId="14A92231" w14:textId="77777777" w:rsidR="00317BB9" w:rsidRPr="00317BB9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Обязанности сторон</w:t>
      </w:r>
    </w:p>
    <w:p w14:paraId="37916F05" w14:textId="77777777" w:rsidR="00317BB9" w:rsidRPr="00317BB9" w:rsidRDefault="00317BB9" w:rsidP="00317BB9">
      <w:pPr>
        <w:spacing w:line="240" w:lineRule="atLeast"/>
        <w:jc w:val="center"/>
        <w:rPr>
          <w:b/>
          <w:sz w:val="25"/>
          <w:szCs w:val="25"/>
        </w:rPr>
      </w:pPr>
    </w:p>
    <w:p w14:paraId="615CD5A7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  <w:u w:val="single"/>
        </w:rPr>
      </w:pPr>
      <w:r w:rsidRPr="00317BB9">
        <w:rPr>
          <w:kern w:val="28"/>
          <w:sz w:val="25"/>
          <w:szCs w:val="25"/>
          <w:u w:val="single"/>
        </w:rPr>
        <w:t>4.1. Обязанности Продавца:</w:t>
      </w:r>
    </w:p>
    <w:p w14:paraId="417D426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17BB9">
        <w:rPr>
          <w:sz w:val="25"/>
          <w:szCs w:val="25"/>
        </w:rPr>
        <w:t>ИМУЩЕСТВО.</w:t>
      </w:r>
    </w:p>
    <w:p w14:paraId="7D69685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  <w:u w:val="single"/>
        </w:rPr>
      </w:pPr>
      <w:r w:rsidRPr="00317BB9">
        <w:rPr>
          <w:kern w:val="28"/>
          <w:sz w:val="25"/>
          <w:szCs w:val="25"/>
          <w:u w:val="single"/>
        </w:rPr>
        <w:t>4.2. Обязанности Покупателя:</w:t>
      </w:r>
    </w:p>
    <w:p w14:paraId="4FD4ECA2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</w:p>
    <w:p w14:paraId="3F176013" w14:textId="77777777" w:rsidR="00317BB9" w:rsidRPr="00317BB9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Ответственность сторон</w:t>
      </w:r>
    </w:p>
    <w:p w14:paraId="7ECD7D62" w14:textId="77777777" w:rsidR="00317BB9" w:rsidRPr="00317BB9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5"/>
          <w:szCs w:val="25"/>
        </w:rPr>
      </w:pPr>
    </w:p>
    <w:p w14:paraId="2C50198E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17BB9">
        <w:rPr>
          <w:b/>
          <w:kern w:val="28"/>
          <w:sz w:val="25"/>
          <w:szCs w:val="25"/>
        </w:rPr>
        <w:t>должника</w:t>
      </w:r>
    </w:p>
    <w:p w14:paraId="702A338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</w:p>
    <w:p w14:paraId="1E082AC6" w14:textId="77777777" w:rsidR="00317BB9" w:rsidRPr="00317BB9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Заключительные положения</w:t>
      </w:r>
    </w:p>
    <w:p w14:paraId="3A5DA84D" w14:textId="77777777" w:rsidR="00317BB9" w:rsidRPr="00317BB9" w:rsidRDefault="00317BB9" w:rsidP="00317BB9">
      <w:pPr>
        <w:spacing w:line="240" w:lineRule="atLeast"/>
        <w:jc w:val="center"/>
        <w:rPr>
          <w:sz w:val="25"/>
          <w:szCs w:val="25"/>
        </w:rPr>
      </w:pPr>
    </w:p>
    <w:p w14:paraId="360E588E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17BB9" w:rsidRDefault="00317BB9" w:rsidP="00317BB9">
      <w:pPr>
        <w:spacing w:line="240" w:lineRule="atLeast"/>
        <w:ind w:firstLine="567"/>
        <w:jc w:val="both"/>
        <w:rPr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6.5. Настоящий Договор составлен в </w:t>
      </w:r>
      <w:r w:rsidRPr="00317BB9">
        <w:rPr>
          <w:sz w:val="25"/>
          <w:szCs w:val="25"/>
        </w:rPr>
        <w:t>трех</w:t>
      </w:r>
      <w:r w:rsidRPr="00317BB9">
        <w:rPr>
          <w:kern w:val="28"/>
          <w:sz w:val="25"/>
          <w:szCs w:val="25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17BB9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5E15679A" w14:textId="77777777" w:rsidR="00317BB9" w:rsidRPr="00317BB9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>Приложения к Договору.</w:t>
      </w:r>
    </w:p>
    <w:p w14:paraId="76347002" w14:textId="77777777" w:rsidR="00317BB9" w:rsidRPr="00317BB9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5"/>
          <w:szCs w:val="25"/>
        </w:rPr>
      </w:pPr>
    </w:p>
    <w:p w14:paraId="54BA0099" w14:textId="77777777" w:rsidR="00317BB9" w:rsidRPr="00317BB9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317BB9">
        <w:rPr>
          <w:rFonts w:ascii="Times New Roman" w:hAnsi="Times New Roman"/>
          <w:sz w:val="25"/>
          <w:szCs w:val="25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17BB9" w:rsidRDefault="00317BB9" w:rsidP="00317BB9">
      <w:pPr>
        <w:pStyle w:val="a7"/>
        <w:ind w:firstLine="540"/>
        <w:rPr>
          <w:rFonts w:ascii="Times New Roman" w:hAnsi="Times New Roman"/>
          <w:kern w:val="28"/>
          <w:sz w:val="25"/>
          <w:szCs w:val="25"/>
        </w:rPr>
      </w:pPr>
      <w:r w:rsidRPr="00317BB9">
        <w:rPr>
          <w:rFonts w:ascii="Times New Roman" w:hAnsi="Times New Roman"/>
          <w:sz w:val="25"/>
          <w:szCs w:val="25"/>
        </w:rPr>
        <w:t xml:space="preserve">Приложение № 1 – </w:t>
      </w:r>
      <w:r w:rsidRPr="00317BB9">
        <w:rPr>
          <w:rFonts w:ascii="Times New Roman" w:hAnsi="Times New Roman"/>
          <w:kern w:val="28"/>
          <w:sz w:val="25"/>
          <w:szCs w:val="25"/>
        </w:rPr>
        <w:t>Акт приема-передачи ИМУЩЕСТВА;</w:t>
      </w:r>
    </w:p>
    <w:p w14:paraId="22A41E63" w14:textId="77777777" w:rsidR="00317BB9" w:rsidRPr="00317BB9" w:rsidRDefault="00317BB9" w:rsidP="00317BB9">
      <w:pPr>
        <w:pStyle w:val="af7"/>
        <w:spacing w:after="0" w:line="240" w:lineRule="atLeast"/>
        <w:ind w:firstLine="360"/>
        <w:rPr>
          <w:sz w:val="25"/>
          <w:szCs w:val="25"/>
        </w:rPr>
      </w:pPr>
    </w:p>
    <w:p w14:paraId="0D2E7656" w14:textId="77777777" w:rsidR="00317BB9" w:rsidRPr="00317BB9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5"/>
          <w:szCs w:val="25"/>
        </w:rPr>
      </w:pPr>
      <w:r w:rsidRPr="00317BB9">
        <w:rPr>
          <w:b/>
          <w:bCs/>
          <w:sz w:val="25"/>
          <w:szCs w:val="25"/>
        </w:rPr>
        <w:t>АДРЕСА И РЕКВИЗИТЫ СТОРОН</w:t>
      </w:r>
    </w:p>
    <w:p w14:paraId="4A7E87D3" w14:textId="77777777" w:rsidR="00317BB9" w:rsidRPr="00317BB9" w:rsidRDefault="00317BB9" w:rsidP="00317BB9">
      <w:pPr>
        <w:spacing w:line="240" w:lineRule="atLeast"/>
        <w:jc w:val="both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591"/>
      </w:tblGrid>
      <w:tr w:rsidR="00317BB9" w:rsidRPr="00317BB9" w14:paraId="328126E7" w14:textId="77777777" w:rsidTr="0068347B">
        <w:tc>
          <w:tcPr>
            <w:tcW w:w="4252" w:type="dxa"/>
          </w:tcPr>
          <w:p w14:paraId="732D878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ПОКУПАТЕЛЬ:</w:t>
            </w:r>
          </w:p>
        </w:tc>
      </w:tr>
      <w:tr w:rsidR="00317BB9" w:rsidRPr="00317BB9" w14:paraId="7ECC9381" w14:textId="77777777" w:rsidTr="00590D91">
        <w:trPr>
          <w:trHeight w:val="5927"/>
        </w:trPr>
        <w:tc>
          <w:tcPr>
            <w:tcW w:w="4252" w:type="dxa"/>
          </w:tcPr>
          <w:p w14:paraId="132FB775" w14:textId="77777777" w:rsidR="00590D91" w:rsidRP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ООО «Перепёлочка»</w:t>
            </w:r>
          </w:p>
          <w:p w14:paraId="0DFA48E8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55CBA992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01353636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2986E404" w14:textId="77777777" w:rsidR="00590D91" w:rsidRP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Ленинградская область, Гатчинский район, пос. </w:t>
            </w:r>
            <w:proofErr w:type="spellStart"/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Терволово</w:t>
            </w:r>
            <w:proofErr w:type="spellEnd"/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, ул. Ленинградская, д. 15,</w:t>
            </w:r>
          </w:p>
          <w:p w14:paraId="5CF7314E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122B6411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25AA94C7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1C1A5D67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3A7DFA5B" w14:textId="77777777" w:rsid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3969CF84" w14:textId="7067E633" w:rsidR="00590D91" w:rsidRPr="00590D91" w:rsidRDefault="00590D91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ОГРН </w:t>
            </w:r>
            <w:proofErr w:type="gramStart"/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1044702085834 ,</w:t>
            </w:r>
            <w:proofErr w:type="gramEnd"/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</w:t>
            </w:r>
          </w:p>
          <w:p w14:paraId="0E6B7BAB" w14:textId="2B4AD205" w:rsidR="00317BB9" w:rsidRPr="00590D91" w:rsidRDefault="00590D91" w:rsidP="0060658E">
            <w:pPr>
              <w:spacing w:line="240" w:lineRule="atLeast"/>
              <w:rPr>
                <w:rFonts w:ascii="Times New Roman" w:hAnsi="Times New Roman"/>
                <w:bCs/>
                <w:sz w:val="25"/>
                <w:szCs w:val="25"/>
              </w:rPr>
            </w:pPr>
            <w:r w:rsidRPr="00590D91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ИНН 4719025562</w:t>
            </w:r>
          </w:p>
          <w:p w14:paraId="4C7405F8" w14:textId="77777777" w:rsidR="00317BB9" w:rsidRPr="00317BB9" w:rsidRDefault="00317BB9" w:rsidP="0060658E">
            <w:pPr>
              <w:spacing w:line="240" w:lineRule="atLeast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1A15D370" w14:textId="77777777" w:rsidR="00317BB9" w:rsidRPr="00317BB9" w:rsidRDefault="00317BB9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317BB9">
              <w:rPr>
                <w:rFonts w:ascii="Times New Roman" w:hAnsi="Times New Roman"/>
                <w:sz w:val="25"/>
                <w:szCs w:val="25"/>
              </w:rPr>
              <w:t xml:space="preserve">Конкурсный управляющий </w:t>
            </w:r>
          </w:p>
          <w:p w14:paraId="525D2915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AFDE9B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DA27B71" w14:textId="77777777" w:rsidR="00317BB9" w:rsidRPr="00317BB9" w:rsidRDefault="00317BB9" w:rsidP="00590D91">
            <w:pPr>
              <w:spacing w:line="240" w:lineRule="atLeast"/>
              <w:rPr>
                <w:rFonts w:ascii="Times New Roman" w:hAnsi="Times New Roman"/>
                <w:sz w:val="25"/>
                <w:szCs w:val="25"/>
              </w:rPr>
            </w:pPr>
          </w:p>
          <w:p w14:paraId="4D666023" w14:textId="6F6B2AED" w:rsidR="00317BB9" w:rsidRPr="00317BB9" w:rsidRDefault="00590D91" w:rsidP="00590D9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_________________Авхадиева Ю.И</w:t>
            </w:r>
            <w:r w:rsidR="00317BB9" w:rsidRPr="00317BB9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</w:tc>
        <w:tc>
          <w:tcPr>
            <w:tcW w:w="5376" w:type="dxa"/>
          </w:tcPr>
          <w:p w14:paraId="6B83007E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________________________</w:t>
            </w:r>
          </w:p>
          <w:p w14:paraId="1BB6E38D" w14:textId="77777777" w:rsidR="00317BB9" w:rsidRPr="00317BB9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17BB9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17BB9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0D000C8D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5EE3E7C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FDFFCE8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EF60C4D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042AC6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8DCE1BC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CCC9581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7F906483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16CE22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92D2061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433FE8C7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5D1F55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2BD8BF4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</w:t>
            </w:r>
          </w:p>
          <w:p w14:paraId="0CE9F4F5" w14:textId="77777777" w:rsidR="00590D91" w:rsidRDefault="00590D91" w:rsidP="00590D91">
            <w:pPr>
              <w:spacing w:line="240" w:lineRule="atLeast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CAEF3D2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___________________ ___________________</w:t>
            </w:r>
          </w:p>
        </w:tc>
      </w:tr>
    </w:tbl>
    <w:p w14:paraId="6BFB0A48" w14:textId="77777777" w:rsidR="0082230B" w:rsidRPr="00317BB9" w:rsidRDefault="0082230B" w:rsidP="00317BB9"/>
    <w:sectPr w:rsidR="0082230B" w:rsidRPr="00317BB9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DA50C" w14:textId="77777777" w:rsidR="0097170B" w:rsidRDefault="0097170B">
      <w:r>
        <w:separator/>
      </w:r>
    </w:p>
  </w:endnote>
  <w:endnote w:type="continuationSeparator" w:id="0">
    <w:p w14:paraId="43481FBF" w14:textId="77777777" w:rsidR="0097170B" w:rsidRDefault="009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D88C" w14:textId="77777777" w:rsidR="0097170B" w:rsidRDefault="0097170B">
      <w:r>
        <w:separator/>
      </w:r>
    </w:p>
  </w:footnote>
  <w:footnote w:type="continuationSeparator" w:id="0">
    <w:p w14:paraId="73DB60E2" w14:textId="77777777" w:rsidR="0097170B" w:rsidRDefault="0097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352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97170B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56D5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034B6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0D91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4352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7170B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1FA4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808DC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B567-1039-47FA-B5A5-ECBE182F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5</cp:revision>
  <cp:lastPrinted>2017-10-27T08:13:00Z</cp:lastPrinted>
  <dcterms:created xsi:type="dcterms:W3CDTF">2021-04-20T05:47:00Z</dcterms:created>
  <dcterms:modified xsi:type="dcterms:W3CDTF">2021-08-09T12:59:00Z</dcterms:modified>
</cp:coreProperties>
</file>