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77777777" w:rsidR="00CC7A39" w:rsidRDefault="00CC7A39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201_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08BE77CF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подтверждает, что Имущество приобретается им </w:t>
      </w:r>
      <w:bookmarkStart w:id="0" w:name="_GoBack"/>
      <w:bookmarkEnd w:id="0"/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для личных, семейных, домашних и иных нужд, не связанных с осуществлением предпринимательской деятельности. 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lastRenderedPageBreak/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77777777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 в течение </w:t>
      </w:r>
      <w:r w:rsidR="00346B27">
        <w:rPr>
          <w:rFonts w:ascii="Times New Roman" w:eastAsia="Calibri" w:hAnsi="Times New Roman" w:cs="Times New Roman"/>
          <w:sz w:val="24"/>
          <w:szCs w:val="24"/>
        </w:rPr>
        <w:t>__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6B27">
        <w:rPr>
          <w:rFonts w:ascii="Times New Roman" w:eastAsia="Calibri" w:hAnsi="Times New Roman" w:cs="Times New Roman"/>
          <w:sz w:val="24"/>
          <w:szCs w:val="24"/>
        </w:rPr>
        <w:t>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) 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229255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размере, установленном в п. 3.1. Договора,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211444CA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3.1.,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C192F8E" w14:textId="1512ED11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Покупатель уведомлен о том, что Имущество ранее было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</w:t>
      </w: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77777777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</w:t>
      </w:r>
      <w:r w:rsidR="00346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6B27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либо Покупатель самостоятельно оплачивает дальнейшие расходы по хранению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ACCCFFF" w14:textId="77777777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4.6:</w:t>
      </w:r>
    </w:p>
    <w:p w14:paraId="0EF1526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обратиться в органы ГИБДД МВД/органы Гостехнадзора для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1E667CFE" w14:textId="77777777" w:rsidR="00986ACB" w:rsidRPr="00A92D1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4.7.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5E71DBD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5.2.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0E6C80D4" w14:textId="20FFD3A4" w:rsidR="007D77E6" w:rsidRPr="00986ACB" w:rsidRDefault="007D77E6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5.3.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>ласти противодействия коррупции (Приложение 3).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commentRangeStart w:id="1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Басманном районном суде г. Москвы</w:t>
      </w:r>
      <w:commentRangeEnd w:id="1"/>
      <w:r w:rsidR="0099698C">
        <w:rPr>
          <w:rStyle w:val="ac"/>
        </w:rPr>
        <w:commentReference w:id="1"/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1B66196A" w:rsidR="00346B27" w:rsidRPr="00042C24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117997, г. Москва, ул. Вавилова, д. 19) 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0B009D8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1A785C7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5731C0">
        <w:trPr>
          <w:trHeight w:val="3982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14:paraId="05CA4C53" w14:textId="60DC7028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r w:rsidR="00D77118" w:rsidRPr="00D77118">
              <w:rPr>
                <w:rFonts w:ascii="Times New Roman" w:hAnsi="Times New Roman"/>
                <w:sz w:val="24"/>
                <w:szCs w:val="24"/>
              </w:rPr>
              <w:t>143026, Московская обл., Одинцовский р-н, р. п. Новоивановское, Можайское шоссе, вл. 165, пом. 3.1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F09EF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CF90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201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201_г.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7777777" w:rsidR="00CC7A39" w:rsidRDefault="00CC7A39" w:rsidP="00E07107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 ,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201_г.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следующие документы на Имущество: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13B7453" w14:textId="253B94BC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40EA845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4776A" w:rsidRPr="00A92D14" w14:paraId="018AC169" w14:textId="77777777" w:rsidTr="00E21589">
        <w:tc>
          <w:tcPr>
            <w:tcW w:w="5353" w:type="dxa"/>
          </w:tcPr>
          <w:p w14:paraId="7FE31467" w14:textId="77777777" w:rsidR="00D4776A" w:rsidRPr="00E21589" w:rsidRDefault="00E21589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4592B2B9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27DF2E10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37F6E0E6" w14:textId="77777777"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  <w:p w14:paraId="151E9D2B" w14:textId="77777777" w:rsidR="00E21589" w:rsidRPr="00E21589" w:rsidRDefault="00E21589" w:rsidP="00D4776A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2802448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18FCB7B3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322003D4" w14:textId="77777777" w:rsidR="00E21589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13F9F87" w14:textId="77777777"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  <w:p w14:paraId="50D7CAC5" w14:textId="77777777" w:rsidR="00D4776A" w:rsidRPr="00E21589" w:rsidRDefault="00D4776A" w:rsidP="00E21589">
            <w:pPr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E21589" w:rsidRPr="00A92D14" w14:paraId="5924D8D1" w14:textId="77777777" w:rsidTr="00E21589">
        <w:tc>
          <w:tcPr>
            <w:tcW w:w="5353" w:type="dxa"/>
          </w:tcPr>
          <w:p w14:paraId="432A8474" w14:textId="77777777" w:rsidR="00E2158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  <w:b/>
              </w:rPr>
              <w:t>ФОРМА СОГЛАСОВАНА:</w:t>
            </w:r>
          </w:p>
          <w:p w14:paraId="51282F88" w14:textId="77777777" w:rsidR="00E21589" w:rsidRPr="00E2158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DB44E19" w14:textId="77777777" w:rsidR="00E21589" w:rsidRPr="00E21589" w:rsidRDefault="00E21589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4776A" w:rsidRPr="00A92D14" w14:paraId="261D7677" w14:textId="77777777" w:rsidTr="00E21589">
        <w:trPr>
          <w:trHeight w:val="1472"/>
        </w:trPr>
        <w:tc>
          <w:tcPr>
            <w:tcW w:w="5353" w:type="dxa"/>
          </w:tcPr>
          <w:p w14:paraId="759EAB8E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63285A6C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1DA8C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C9E343" w14:textId="77777777" w:rsidR="00E21589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43202FDF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14:paraId="44D95022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5FE40530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A7DE4D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07FDF9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 w:rsidR="00E21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A716AA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5A681C1A" w14:textId="77777777" w:rsidR="007D77E6" w:rsidRDefault="007D77E6" w:rsidP="007D77E6">
      <w:pPr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670AF998" w14:textId="77777777" w:rsidR="007D77E6" w:rsidRDefault="007D77E6" w:rsidP="007D77E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B16287E" w14:textId="77777777" w:rsidR="007D77E6" w:rsidRDefault="007D77E6" w:rsidP="007D77E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201_г.</w:t>
      </w:r>
    </w:p>
    <w:p w14:paraId="0C1C2F4F" w14:textId="77777777" w:rsidR="007D77E6" w:rsidRPr="00E17057" w:rsidRDefault="007D77E6" w:rsidP="007D77E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304FB2C1" w14:textId="77777777" w:rsidR="007D77E6" w:rsidRDefault="007D77E6" w:rsidP="007D77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7C8973C5" w14:textId="77777777" w:rsidR="007D77E6" w:rsidRPr="00631F1C" w:rsidRDefault="007D77E6" w:rsidP="007D77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2B4EB8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77AFF3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02A5E595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3165329D" w14:textId="77777777" w:rsidR="007D77E6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12536E55" w14:textId="77777777" w:rsidR="007D77E6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 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25BC6D53" w14:textId="77777777" w:rsidR="007D77E6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48BAD6B4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42CB9128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168C763D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или посредниками</w:t>
      </w:r>
      <w:r w:rsidRPr="009702A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9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, описание фактических обстоятельств, связанных с Нарушением коррупционной направленности,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25A0B94F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21F1D98D" w14:textId="77777777" w:rsidR="007D77E6" w:rsidRPr="00D94D54" w:rsidRDefault="007D77E6" w:rsidP="007D77E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5633C57F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1B2C79B9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</w:p>
    <w:p w14:paraId="144666DB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</w:p>
    <w:p w14:paraId="6BE49F52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7D77E6" w:rsidRPr="00A92D14" w14:paraId="5D27DFA2" w14:textId="77777777" w:rsidTr="00361B62">
        <w:trPr>
          <w:trHeight w:val="1472"/>
        </w:trPr>
        <w:tc>
          <w:tcPr>
            <w:tcW w:w="5297" w:type="dxa"/>
          </w:tcPr>
          <w:p w14:paraId="3CC0FCBC" w14:textId="77777777" w:rsidR="007D77E6" w:rsidRPr="00A92D14" w:rsidRDefault="007D77E6" w:rsidP="00361B62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2AC7A28" w14:textId="77777777" w:rsidR="007D77E6" w:rsidRPr="00A92D14" w:rsidRDefault="007D77E6" w:rsidP="00361B6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D743C5" w14:textId="77777777" w:rsidR="007D77E6" w:rsidRPr="00A92D14" w:rsidRDefault="007D77E6" w:rsidP="00361B6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4FC459" w14:textId="77777777" w:rsidR="007D77E6" w:rsidRDefault="007D77E6" w:rsidP="00361B6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3D2C2D66" w14:textId="77777777" w:rsidR="007D77E6" w:rsidRPr="00A92D14" w:rsidRDefault="007D77E6" w:rsidP="00361B62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62D67C31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59675158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A88C3C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18CFE2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EBF522" w14:textId="77777777" w:rsidR="007D77E6" w:rsidRPr="00A92D14" w:rsidRDefault="007D77E6" w:rsidP="00361B62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DBB323A" w14:textId="77777777" w:rsidR="007D77E6" w:rsidRDefault="007D77E6" w:rsidP="007D77E6">
      <w:pPr>
        <w:rPr>
          <w:rFonts w:ascii="Times New Roman" w:hAnsi="Times New Roman"/>
          <w:iCs/>
          <w:sz w:val="24"/>
          <w:szCs w:val="24"/>
          <w:lang w:eastAsia="ru-RU"/>
        </w:rPr>
      </w:pPr>
    </w:p>
    <w:p w14:paraId="7182B5E1" w14:textId="77777777" w:rsidR="007D77E6" w:rsidRDefault="007D77E6" w:rsidP="007D77E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77777777" w:rsidR="00E07107" w:rsidRPr="00E07107" w:rsidRDefault="00E07107" w:rsidP="007F5FA4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201__г.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77777777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201__г.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следующие документы на Имущество: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79B78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Претензий к Продавцу по качеству, техническому состоянию и комплектности Имущества Покупатель не имеет.</w:t>
      </w:r>
    </w:p>
    <w:p w14:paraId="6C54108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D4776A">
      <w:pPr>
        <w:ind w:right="-1"/>
      </w:pPr>
    </w:p>
    <w:sectPr w:rsidR="00C400B4" w:rsidSect="00E07107">
      <w:footerReference w:type="default" r:id="rId16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окатуро Алексей Игоревич" w:date="2020-06-04T12:46:00Z" w:initials="БАИ">
    <w:p w14:paraId="7805FAA5" w14:textId="4D1B2EAF" w:rsidR="0099698C" w:rsidRDefault="0099698C">
      <w:pPr>
        <w:pStyle w:val="ad"/>
      </w:pPr>
      <w:r>
        <w:rPr>
          <w:rStyle w:val="ac"/>
        </w:rPr>
        <w:annotationRef/>
      </w:r>
      <w:r>
        <w:t>Опционально. Басманный районный суд г. Москвы только для Покупателей – физических лиц, Арбитражные суды только для покупателей – юридических лиц и индивидуальных предпринимателей.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5FAA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EF14" w14:textId="77777777" w:rsidR="008D024F" w:rsidRDefault="008D024F" w:rsidP="00D4776A">
      <w:pPr>
        <w:spacing w:after="0" w:line="240" w:lineRule="auto"/>
      </w:pPr>
      <w:r>
        <w:separator/>
      </w:r>
    </w:p>
  </w:endnote>
  <w:endnote w:type="continuationSeparator" w:id="0">
    <w:p w14:paraId="6BB2C665" w14:textId="77777777" w:rsidR="008D024F" w:rsidRDefault="008D024F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C406" w14:textId="77777777" w:rsidR="00AB3FC6" w:rsidRDefault="00AB3F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85908"/>
      <w:docPartObj>
        <w:docPartGallery w:val="Page Numbers (Bottom of Page)"/>
        <w:docPartUnique/>
      </w:docPartObj>
    </w:sdtPr>
    <w:sdtEndPr/>
    <w:sdtContent>
      <w:p w14:paraId="04DDFA77" w14:textId="30B69CF6" w:rsidR="00CC7A39" w:rsidRDefault="00CC7A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61">
          <w:rPr>
            <w:noProof/>
          </w:rPr>
          <w:t>1</w:t>
        </w:r>
        <w:r>
          <w:fldChar w:fldCharType="end"/>
        </w:r>
      </w:p>
    </w:sdtContent>
  </w:sdt>
  <w:p w14:paraId="52DE4906" w14:textId="77777777" w:rsidR="00CC7A39" w:rsidRDefault="00CC7A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A462" w14:textId="77777777" w:rsidR="00AB3FC6" w:rsidRDefault="00AB3FC6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644061"/>
      <w:docPartObj>
        <w:docPartGallery w:val="Page Numbers (Bottom of Page)"/>
        <w:docPartUnique/>
      </w:docPartObj>
    </w:sdtPr>
    <w:sdtEndPr/>
    <w:sdtContent>
      <w:p w14:paraId="5224CF78" w14:textId="77777777" w:rsidR="00833172" w:rsidRDefault="00833172">
        <w:pPr>
          <w:pStyle w:val="a9"/>
          <w:jc w:val="right"/>
        </w:pPr>
      </w:p>
      <w:p w14:paraId="69380F66" w14:textId="77777777" w:rsidR="00833172" w:rsidRDefault="008D024F" w:rsidP="00833172">
        <w:pPr>
          <w:pStyle w:val="a9"/>
          <w:jc w:val="center"/>
        </w:pPr>
      </w:p>
    </w:sdtContent>
  </w:sdt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1612" w14:textId="77777777" w:rsidR="008D024F" w:rsidRDefault="008D024F" w:rsidP="00D4776A">
      <w:pPr>
        <w:spacing w:after="0" w:line="240" w:lineRule="auto"/>
      </w:pPr>
      <w:r>
        <w:separator/>
      </w:r>
    </w:p>
  </w:footnote>
  <w:footnote w:type="continuationSeparator" w:id="0">
    <w:p w14:paraId="7ACE55AA" w14:textId="77777777" w:rsidR="008D024F" w:rsidRDefault="008D024F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0868D59E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E887EA3" w14:textId="77777777" w:rsidR="007D77E6" w:rsidRPr="00560604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156EFD79" w14:textId="77777777" w:rsidR="007D77E6" w:rsidRPr="00744CDC" w:rsidRDefault="007D77E6" w:rsidP="007D77E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5DFEBEA8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10E5199C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87D6" w14:textId="77777777" w:rsidR="00AB3FC6" w:rsidRDefault="00AB3F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C0D8" w14:textId="77777777" w:rsidR="00AB3FC6" w:rsidRDefault="00AB3FC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2C7CB" w14:textId="77777777" w:rsidR="00AB3FC6" w:rsidRDefault="00AB3F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катуро Алексей Игоревич">
    <w15:presenceInfo w15:providerId="AD" w15:userId="S-1-5-21-1512440527-220561003-846331457-15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7"/>
    <w:rsid w:val="00042C24"/>
    <w:rsid w:val="00057C08"/>
    <w:rsid w:val="000721E9"/>
    <w:rsid w:val="00096A20"/>
    <w:rsid w:val="001013D5"/>
    <w:rsid w:val="001672FB"/>
    <w:rsid w:val="001A06DD"/>
    <w:rsid w:val="001A568F"/>
    <w:rsid w:val="0023624D"/>
    <w:rsid w:val="00346B27"/>
    <w:rsid w:val="003E50DC"/>
    <w:rsid w:val="00504B71"/>
    <w:rsid w:val="005652AA"/>
    <w:rsid w:val="005731C0"/>
    <w:rsid w:val="006D6AF5"/>
    <w:rsid w:val="006F3A16"/>
    <w:rsid w:val="007C3F69"/>
    <w:rsid w:val="007D77E6"/>
    <w:rsid w:val="007F5FA4"/>
    <w:rsid w:val="00833172"/>
    <w:rsid w:val="00840848"/>
    <w:rsid w:val="008A0EA9"/>
    <w:rsid w:val="008D024F"/>
    <w:rsid w:val="008D5D27"/>
    <w:rsid w:val="00922561"/>
    <w:rsid w:val="00986ACB"/>
    <w:rsid w:val="0099698C"/>
    <w:rsid w:val="009E43F8"/>
    <w:rsid w:val="00AB3FC6"/>
    <w:rsid w:val="00C400B4"/>
    <w:rsid w:val="00C92FCB"/>
    <w:rsid w:val="00CC7A39"/>
    <w:rsid w:val="00D4776A"/>
    <w:rsid w:val="00D73A08"/>
    <w:rsid w:val="00D77118"/>
    <w:rsid w:val="00E07107"/>
    <w:rsid w:val="00E21589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356F"/>
  <w15:docId w15:val="{A2379288-C733-4EC2-A2AB-935588F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026F-1CBF-4FE4-80F5-346CC1B6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Бортникова Юлия Валерьевна</cp:lastModifiedBy>
  <cp:revision>7</cp:revision>
  <dcterms:created xsi:type="dcterms:W3CDTF">2020-06-05T09:36:00Z</dcterms:created>
  <dcterms:modified xsi:type="dcterms:W3CDTF">2021-05-17T09:20:00Z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2021-05-17T09:20:34Z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