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337F45" w:rsidP="00DD0573">
      <w:pPr>
        <w:jc w:val="both"/>
        <w:rPr>
          <w:rFonts w:eastAsia="MS Mincho"/>
        </w:rPr>
      </w:pPr>
      <w:proofErr w:type="gramStart"/>
      <w:r>
        <w:rPr>
          <w:color w:val="000000"/>
        </w:rPr>
        <w:t>Общество с ограниченной ответственностью</w:t>
      </w:r>
      <w:r w:rsidR="00D74117" w:rsidRPr="003F6827">
        <w:rPr>
          <w:color w:val="000000"/>
        </w:rPr>
        <w:t xml:space="preserve"> «</w:t>
      </w:r>
      <w:r>
        <w:rPr>
          <w:color w:val="000000"/>
        </w:rPr>
        <w:t>Аконит</w:t>
      </w:r>
      <w:r w:rsidR="00D74117" w:rsidRPr="003F6827">
        <w:rPr>
          <w:color w:val="000000"/>
        </w:rPr>
        <w:t>» (</w:t>
      </w:r>
      <w:r w:rsidRPr="00337F45">
        <w:rPr>
          <w:color w:val="000000"/>
        </w:rPr>
        <w:t>ИНН 1215056238, ОГРН 1021200782767, адрес 424007, Республика Марий Эл, г. Йошкар-Ола, ул. Машиностроителей, д. 120</w:t>
      </w:r>
      <w:r w:rsidR="00D74117" w:rsidRPr="003F6827">
        <w:rPr>
          <w:color w:val="000000"/>
        </w:rPr>
        <w:t>)</w:t>
      </w:r>
      <w:r w:rsidR="00683B70" w:rsidRPr="00337F45">
        <w:rPr>
          <w:color w:val="000000"/>
        </w:rPr>
        <w:t>, в</w:t>
      </w:r>
      <w:r w:rsidR="00683B70" w:rsidRPr="003F6827">
        <w:t xml:space="preserve"> лице </w:t>
      </w:r>
      <w:r w:rsidR="00D74117" w:rsidRPr="003F6827">
        <w:t>конкурсного</w:t>
      </w:r>
      <w:r w:rsidR="00683B70" w:rsidRPr="003F6827">
        <w:t xml:space="preserve"> управляющего </w:t>
      </w:r>
      <w:proofErr w:type="spellStart"/>
      <w:r>
        <w:t>Мухаметдиева</w:t>
      </w:r>
      <w:proofErr w:type="spellEnd"/>
      <w:r>
        <w:t xml:space="preserve"> Марата </w:t>
      </w:r>
      <w:proofErr w:type="spellStart"/>
      <w:r>
        <w:t>Расиховича</w:t>
      </w:r>
      <w:proofErr w:type="spellEnd"/>
      <w:r w:rsidR="00683B70" w:rsidRPr="003F6827">
        <w:t xml:space="preserve">, действующего на основании </w:t>
      </w:r>
      <w:r w:rsidR="00D74117" w:rsidRPr="003F6827">
        <w:t xml:space="preserve">Решения Арбитражного суда </w:t>
      </w:r>
      <w:r>
        <w:t>Республики Марий Эл</w:t>
      </w:r>
      <w:r w:rsidR="00D74117" w:rsidRPr="003F6827">
        <w:t xml:space="preserve"> от </w:t>
      </w:r>
      <w:r>
        <w:t>17.02.2021</w:t>
      </w:r>
      <w:r w:rsidR="004E3ED8" w:rsidRPr="003F6827">
        <w:t xml:space="preserve"> по делу </w:t>
      </w:r>
      <w:r w:rsidR="00D74117" w:rsidRPr="003F6827">
        <w:t>№</w:t>
      </w:r>
      <w:r>
        <w:t>А38-8257/2020</w:t>
      </w:r>
      <w:r w:rsidR="00220C82" w:rsidRPr="003F6827">
        <w:t xml:space="preserve">, </w:t>
      </w:r>
      <w:r w:rsidR="005A135B" w:rsidRPr="005A135B">
        <w:t>Определения Арбитражного суда Республики Марий Эл от 17.08.2021 по делу №А38-8257/2020,</w:t>
      </w:r>
      <w:r w:rsidR="005A135B">
        <w:rPr>
          <w:color w:val="000000"/>
          <w:sz w:val="22"/>
          <w:szCs w:val="22"/>
        </w:rPr>
        <w:t xml:space="preserve"> </w:t>
      </w:r>
      <w:r w:rsidR="00220C82" w:rsidRPr="003F6827">
        <w:t>именуемый в дальнейшем «</w:t>
      </w:r>
      <w:r w:rsidR="009C15B1" w:rsidRPr="003F6827">
        <w:t>Организатор торгов</w:t>
      </w:r>
      <w:r w:rsidR="00220C82" w:rsidRPr="003F6827">
        <w:t>», с</w:t>
      </w:r>
      <w:proofErr w:type="gramEnd"/>
      <w:r w:rsidR="00220C82" w:rsidRPr="003F6827">
        <w:t xml:space="preserve">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  <w:r w:rsidR="00337F45" w:rsidRPr="00337F45">
        <w:t xml:space="preserve">- гильотина с электроприводом </w:t>
      </w:r>
      <w:proofErr w:type="spellStart"/>
      <w:r w:rsidR="00337F45" w:rsidRPr="00337F45">
        <w:t>Durma</w:t>
      </w:r>
      <w:proofErr w:type="spellEnd"/>
      <w:r w:rsidR="00337F45" w:rsidRPr="00337F45">
        <w:t xml:space="preserve"> MS 2504, серийный № 313412878, инвентарный № 053, 2012 года выпуска, в количестве 1 шт.; - пресс листогибочный с ЧПУ </w:t>
      </w:r>
      <w:proofErr w:type="spellStart"/>
      <w:r w:rsidR="00337F45" w:rsidRPr="00337F45">
        <w:t>Durma</w:t>
      </w:r>
      <w:proofErr w:type="spellEnd"/>
      <w:r w:rsidR="00337F45" w:rsidRPr="00337F45">
        <w:t xml:space="preserve"> AD-R 25100, серийный № 7312138332, инвентарный № 054, 2013 года выпуска, в количестве 1 шт.; - обрабатывающий центр с</w:t>
      </w:r>
      <w:proofErr w:type="gramEnd"/>
      <w:r w:rsidR="00337F45" w:rsidRPr="00337F45">
        <w:t xml:space="preserve"> </w:t>
      </w:r>
      <w:proofErr w:type="gramStart"/>
      <w:r w:rsidR="00337F45" w:rsidRPr="00337F45">
        <w:t xml:space="preserve">ЧПУ МS-24GВZ, инвентарный № 029, 2007 года выпуска, в количестве 1 шт.; - </w:t>
      </w:r>
      <w:proofErr w:type="spellStart"/>
      <w:r w:rsidR="00337F45" w:rsidRPr="00337F45">
        <w:t>форматно-раскроечный</w:t>
      </w:r>
      <w:proofErr w:type="spellEnd"/>
      <w:r w:rsidR="00337F45" w:rsidRPr="00337F45">
        <w:t xml:space="preserve"> станок МJ-3000, инвентарный № 038, в количестве 1 шт.; - рейсмус МВ 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</w:t>
      </w:r>
      <w:proofErr w:type="gramEnd"/>
      <w:r w:rsidR="00337F45" w:rsidRPr="00337F45">
        <w:t xml:space="preserve"> 1 комплекта; - </w:t>
      </w:r>
      <w:proofErr w:type="gramStart"/>
      <w:r w:rsidR="00337F45" w:rsidRPr="00337F45">
        <w:t>ленточнопильный станок WP-275DS, серийный номер 11055702, инвентарный № 048, в количестве 1 шт.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337F45">
        <w:t>___</w:t>
      </w:r>
      <w:r w:rsidRPr="00683B70">
        <w:t xml:space="preserve">» </w:t>
      </w:r>
      <w:r w:rsidR="00337F45">
        <w:t>_______</w:t>
      </w:r>
      <w:r w:rsidRPr="00683B70">
        <w:t xml:space="preserve"> 20</w:t>
      </w:r>
      <w:r w:rsidR="00337F45">
        <w:t>__</w:t>
      </w:r>
      <w:r w:rsidRPr="00683B70">
        <w:t>г. №</w:t>
      </w:r>
      <w:r w:rsidR="00D74117" w:rsidRPr="00D74117">
        <w:t xml:space="preserve"> </w:t>
      </w:r>
      <w:r w:rsidR="00337F45">
        <w:t>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D74117" w:rsidRPr="00D74117">
        <w:t>(</w:t>
      </w:r>
      <w:r w:rsidR="00F44145">
        <w:t>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 xml:space="preserve">, составляющей </w:t>
      </w:r>
      <w:r w:rsidR="00F44145">
        <w:t>__________________</w:t>
      </w:r>
      <w:r w:rsidR="00D74117" w:rsidRPr="00D74117">
        <w:t xml:space="preserve">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337F45">
        <w:t>__</w:t>
      </w:r>
      <w:r w:rsidR="003F2A9E" w:rsidRPr="00D74117">
        <w:t xml:space="preserve">» </w:t>
      </w:r>
      <w:r w:rsidR="00337F45">
        <w:t>____</w:t>
      </w:r>
      <w:r w:rsidR="003F2A9E" w:rsidRPr="00D74117">
        <w:t xml:space="preserve"> 20</w:t>
      </w:r>
      <w:r w:rsidR="00337F45">
        <w:t>__</w:t>
      </w:r>
      <w:r w:rsidR="003F2A9E" w:rsidRPr="00D74117">
        <w:t>г. в «</w:t>
      </w:r>
      <w:r w:rsidR="00337F45">
        <w:t>___» часов ___</w:t>
      </w:r>
      <w:r w:rsidR="003F2A9E" w:rsidRPr="00D74117">
        <w:t xml:space="preserve"> минут </w:t>
      </w:r>
      <w:r w:rsidR="00F26A52" w:rsidRPr="00D74117">
        <w:t>в Программном комплексе</w:t>
      </w:r>
      <w:proofErr w:type="gramEnd"/>
      <w:r w:rsidR="00F26A52" w:rsidRPr="00D74117">
        <w:t xml:space="preserve">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hyperlink r:id="rId7" w:history="1">
        <w:r w:rsidR="00F44145" w:rsidRPr="00F44145">
          <w:t>www.bankruptcy.lot-online.ru</w:t>
        </w:r>
      </w:hyperlink>
      <w:r w:rsidR="00F44145">
        <w:t xml:space="preserve"> </w:t>
      </w:r>
      <w:r w:rsidR="00F44145" w:rsidRPr="00F44145">
        <w:t>(http://sales.lot-online.ru).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337F45">
            <w:pPr>
              <w:spacing w:line="276" w:lineRule="auto"/>
            </w:pPr>
            <w:r w:rsidRPr="00D74117">
              <w:t xml:space="preserve"> </w:t>
            </w:r>
            <w:r w:rsidR="00337F45">
              <w:rPr>
                <w:color w:val="333333"/>
                <w:shd w:val="clear" w:color="auto" w:fill="F3F6F8"/>
              </w:rPr>
              <w:t>ООО «Аконит»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40702810837000007402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337F45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337F45">
              <w:rPr>
                <w:color w:val="333333"/>
                <w:shd w:val="clear" w:color="auto" w:fill="F3F6F8"/>
              </w:rPr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1215056238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B018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D74117" w:rsidRPr="00337F45" w:rsidRDefault="00D74117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337F45">
              <w:rPr>
                <w:color w:val="333333"/>
                <w:shd w:val="clear" w:color="auto" w:fill="F3F6F8"/>
              </w:rPr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121501001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</w:t>
      </w:r>
      <w:r w:rsidRPr="00DA36C7">
        <w:lastRenderedPageBreak/>
        <w:t>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5A135B" w:rsidRDefault="003F6827" w:rsidP="00683B70">
            <w:pPr>
              <w:jc w:val="both"/>
            </w:pPr>
            <w:proofErr w:type="gramStart"/>
            <w:r w:rsidRPr="003F6827">
              <w:rPr>
                <w:color w:val="000000"/>
              </w:rPr>
              <w:t xml:space="preserve">ООО </w:t>
            </w:r>
            <w:r w:rsidR="00337F45" w:rsidRPr="003F6827">
              <w:rPr>
                <w:color w:val="000000"/>
              </w:rPr>
              <w:t>«</w:t>
            </w:r>
            <w:r w:rsidR="00337F45">
              <w:rPr>
                <w:color w:val="000000"/>
              </w:rPr>
              <w:t>Аконит</w:t>
            </w:r>
            <w:r w:rsidR="00337F45" w:rsidRPr="003F6827">
              <w:rPr>
                <w:color w:val="000000"/>
              </w:rPr>
              <w:t>» (</w:t>
            </w:r>
            <w:r w:rsidR="00337F45" w:rsidRPr="00337F45">
              <w:rPr>
                <w:color w:val="000000"/>
              </w:rPr>
              <w:t>ИНН 1215056238, ОГРН 1021200782767, адрес 424007, Республика Марий Эл, г. Йошкар-Ола, ул. Машиностроителей, д. 120</w:t>
            </w:r>
            <w:r w:rsidR="00337F45" w:rsidRPr="003F6827">
              <w:rPr>
                <w:color w:val="000000"/>
              </w:rPr>
              <w:t>)</w:t>
            </w:r>
            <w:r w:rsidR="00337F45" w:rsidRPr="00337F45">
              <w:rPr>
                <w:color w:val="000000"/>
              </w:rPr>
              <w:t>, в</w:t>
            </w:r>
            <w:r w:rsidR="00337F45" w:rsidRPr="003F6827">
              <w:t xml:space="preserve"> лице конкурсного управляющего </w:t>
            </w:r>
            <w:proofErr w:type="spellStart"/>
            <w:r w:rsidR="00337F45">
              <w:t>Мухаметдиева</w:t>
            </w:r>
            <w:proofErr w:type="spellEnd"/>
            <w:r w:rsidR="00337F45">
              <w:t xml:space="preserve"> Марата </w:t>
            </w:r>
            <w:proofErr w:type="spellStart"/>
            <w:r w:rsidR="00337F45">
              <w:t>Расиховича</w:t>
            </w:r>
            <w:proofErr w:type="spellEnd"/>
            <w:r w:rsidR="00337F45" w:rsidRPr="003F6827">
              <w:t xml:space="preserve">, действующего на основании Решения Арбитражного суда </w:t>
            </w:r>
            <w:r w:rsidR="00337F45">
              <w:t>Республики Марий Эл</w:t>
            </w:r>
            <w:r w:rsidR="00337F45" w:rsidRPr="003F6827">
              <w:t xml:space="preserve"> от </w:t>
            </w:r>
            <w:r w:rsidR="00337F45">
              <w:t>17.02.2021</w:t>
            </w:r>
            <w:r w:rsidR="00337F45" w:rsidRPr="003F6827">
              <w:t xml:space="preserve"> по делу №</w:t>
            </w:r>
            <w:r w:rsidR="00337F45">
              <w:t>А38-8257/2020</w:t>
            </w:r>
            <w:r w:rsidR="005A135B">
              <w:t xml:space="preserve">, </w:t>
            </w:r>
            <w:r w:rsidR="005A135B" w:rsidRPr="005A135B">
              <w:t>Определения Арбитражного суда Республики Марий Эл от 17.08.2021 по делу №А38-8257/2020</w:t>
            </w:r>
            <w:proofErr w:type="gramEnd"/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37F45" w:rsidP="00683B70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424002</w:t>
            </w:r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</w:t>
            </w:r>
            <w:proofErr w:type="gramStart"/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Йошкар-Ола, а/я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23</w:t>
            </w:r>
            <w:r w:rsidR="00683B70" w:rsidRPr="003F6827">
              <w:rPr>
                <w:b/>
                <w:u w:val="single"/>
              </w:rPr>
              <w:t>)</w:t>
            </w:r>
            <w:proofErr w:type="gramEnd"/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3F6827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hd w:val="clear" w:color="auto" w:fill="F3F6F8"/>
              </w:rPr>
              <w:t xml:space="preserve">/с: </w:t>
            </w:r>
            <w:r w:rsidR="00337F45" w:rsidRPr="00337F45">
              <w:rPr>
                <w:color w:val="333333"/>
                <w:shd w:val="clear" w:color="auto" w:fill="F3F6F8"/>
              </w:rPr>
              <w:t>40702810837000007402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3F6827" w:rsidP="00683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Конкурсный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337F45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DA36C7" w:rsidRPr="007153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Мухаметдиев</w:t>
            </w:r>
            <w:proofErr w:type="spellEnd"/>
            <w:r w:rsidR="00DA36C7"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37F45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76" w:rsidRDefault="00B32B76" w:rsidP="007A5E2A">
      <w:r>
        <w:separator/>
      </w:r>
    </w:p>
  </w:endnote>
  <w:endnote w:type="continuationSeparator" w:id="0">
    <w:p w:rsidR="00B32B76" w:rsidRDefault="00B32B76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E056E1" w:rsidP="00337F45">
    <w:pPr>
      <w:pStyle w:val="aa"/>
      <w:jc w:val="right"/>
    </w:pPr>
    <w:fldSimple w:instr=" PAGE   \* MERGEFORMAT ">
      <w:r w:rsidR="009735B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76" w:rsidRDefault="00B32B76" w:rsidP="007A5E2A">
      <w:r>
        <w:separator/>
      </w:r>
    </w:p>
  </w:footnote>
  <w:footnote w:type="continuationSeparator" w:id="0">
    <w:p w:rsidR="00B32B76" w:rsidRDefault="00B32B76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37F45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135B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5626B"/>
    <w:rsid w:val="009735B0"/>
    <w:rsid w:val="00976BE6"/>
    <w:rsid w:val="009C15B1"/>
    <w:rsid w:val="009E249D"/>
    <w:rsid w:val="00A671A2"/>
    <w:rsid w:val="00A959A6"/>
    <w:rsid w:val="00AB0526"/>
    <w:rsid w:val="00B01817"/>
    <w:rsid w:val="00B257B1"/>
    <w:rsid w:val="00B32B76"/>
    <w:rsid w:val="00B36E58"/>
    <w:rsid w:val="00B44147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056E1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4414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  <w:style w:type="character" w:styleId="ad">
    <w:name w:val="Hyperlink"/>
    <w:basedOn w:val="a0"/>
    <w:rsid w:val="00F44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7</cp:revision>
  <cp:lastPrinted>2017-07-11T06:41:00Z</cp:lastPrinted>
  <dcterms:created xsi:type="dcterms:W3CDTF">2021-04-14T10:02:00Z</dcterms:created>
  <dcterms:modified xsi:type="dcterms:W3CDTF">2021-08-27T12:44:00Z</dcterms:modified>
</cp:coreProperties>
</file>