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77777777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2021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052C48A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5E4DE6" w:rsidRPr="005E4DE6">
        <w:rPr>
          <w:rFonts w:ascii="Times New Roman" w:eastAsia="Times New Roman" w:hAnsi="Times New Roman" w:cs="Times New Roman"/>
          <w:b/>
          <w:sz w:val="24"/>
          <w:szCs w:val="24"/>
        </w:rPr>
        <w:t>Бизнес-Движение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5E4DE6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E4DE6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EndPr/>
        <w:sdtContent>
          <w:r w:rsidR="005E4DE6" w:rsidRPr="005E4DE6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А17-6624/2020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4B62366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0B566C" w:rsidRPr="00AF5459">
        <w:rPr>
          <w:rFonts w:ascii="Arial Narrow" w:hAnsi="Arial Narrow"/>
          <w:b/>
          <w:bCs/>
          <w:sz w:val="24"/>
          <w:szCs w:val="24"/>
        </w:rPr>
        <w:t>5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402AF9" w:rsidRPr="00AF5459">
        <w:rPr>
          <w:rFonts w:ascii="Times New Roman" w:hAnsi="Times New Roman"/>
          <w:sz w:val="24"/>
          <w:szCs w:val="24"/>
        </w:rPr>
        <w:t xml:space="preserve">, указанной в п.1.1. настоящего </w:t>
      </w:r>
      <w:r w:rsidR="00F64A03" w:rsidRPr="00AF5459">
        <w:rPr>
          <w:rFonts w:ascii="Times New Roman" w:hAnsi="Times New Roman"/>
          <w:sz w:val="24"/>
          <w:szCs w:val="24"/>
        </w:rPr>
        <w:t>договора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6AD2D4D2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5E4DE6" w:rsidRPr="00371369">
        <w:rPr>
          <w:rFonts w:ascii="Arial Narrow" w:hAnsi="Arial Narrow"/>
          <w:sz w:val="24"/>
          <w:szCs w:val="24"/>
        </w:rPr>
        <w:t xml:space="preserve">40702810602000110540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Pr="005E4DE6">
        <w:rPr>
          <w:rFonts w:ascii="Arial Narrow" w:hAnsi="Arial Narrow"/>
          <w:sz w:val="24"/>
          <w:szCs w:val="24"/>
        </w:rPr>
        <w:t>044525555</w:t>
      </w:r>
      <w:r w:rsidRPr="00AF5459">
        <w:rPr>
          <w:rFonts w:ascii="Arial Narrow" w:hAnsi="Arial Narrow"/>
          <w:sz w:val="24"/>
          <w:szCs w:val="24"/>
        </w:rPr>
        <w:t>, к/с 30101810400000000555, получатель ООО «</w:t>
      </w:r>
      <w:r w:rsidR="005E4DE6" w:rsidRPr="005E4DE6">
        <w:rPr>
          <w:rFonts w:ascii="Arial Narrow" w:hAnsi="Arial Narrow"/>
          <w:sz w:val="24"/>
          <w:szCs w:val="24"/>
        </w:rPr>
        <w:t>Бизнес-Движение</w:t>
      </w:r>
      <w:r w:rsidRPr="00AF5459">
        <w:rPr>
          <w:rFonts w:ascii="Arial Narrow" w:hAnsi="Arial Narrow"/>
          <w:sz w:val="24"/>
          <w:szCs w:val="24"/>
        </w:rPr>
        <w:t xml:space="preserve">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</w:t>
      </w:r>
      <w:r w:rsidR="005E4DE6">
        <w:rPr>
          <w:rFonts w:ascii="Arial Narrow" w:hAnsi="Arial Narrow"/>
          <w:b/>
          <w:bCs/>
          <w:sz w:val="24"/>
          <w:szCs w:val="24"/>
        </w:rPr>
        <w:t>Бизнес-Движение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</w:t>
      </w:r>
      <w:r w:rsidRPr="00AF5459">
        <w:rPr>
          <w:b w:val="0"/>
          <w:i w:val="0"/>
          <w:sz w:val="24"/>
          <w:szCs w:val="24"/>
        </w:rPr>
        <w:lastRenderedPageBreak/>
        <w:t>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7EAC21AE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5E4DE6" w:rsidRPr="005E4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«Бизнес-Движение» (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2139492333"/>
                <w:placeholder>
                  <w:docPart w:val="8CD0DD41ECEFAB40A5D1CD41D702E36F"/>
                </w:placeholder>
              </w:sdtPr>
              <w:sdtContent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ИНН 3702117485, ОГРН 1153702019129, адрес: 153000 </w:t>
                </w:r>
                <w:proofErr w:type="spellStart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пр.Ленина</w:t>
                </w:r>
                <w:proofErr w:type="spellEnd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д.9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A4AD" w14:textId="77777777" w:rsidR="00893BE1" w:rsidRDefault="00893BE1" w:rsidP="00A102C3">
      <w:pPr>
        <w:spacing w:after="0" w:line="240" w:lineRule="auto"/>
      </w:pPr>
      <w:r>
        <w:separator/>
      </w:r>
    </w:p>
  </w:endnote>
  <w:endnote w:type="continuationSeparator" w:id="0">
    <w:p w14:paraId="77301A71" w14:textId="77777777" w:rsidR="00893BE1" w:rsidRDefault="00893BE1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F1AC" w14:textId="77777777" w:rsidR="00893BE1" w:rsidRDefault="00893BE1" w:rsidP="00A102C3">
      <w:pPr>
        <w:spacing w:after="0" w:line="240" w:lineRule="auto"/>
      </w:pPr>
      <w:r>
        <w:separator/>
      </w:r>
    </w:p>
  </w:footnote>
  <w:footnote w:type="continuationSeparator" w:id="0">
    <w:p w14:paraId="26647BBB" w14:textId="77777777" w:rsidR="00893BE1" w:rsidRDefault="00893BE1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E4DE6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93BE1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D0DD41ECEFAB40A5D1CD41D702E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73414-2B2E-2C41-A417-801BB0A29751}"/>
      </w:docPartPr>
      <w:docPartBody>
        <w:p w:rsidR="00000000" w:rsidRDefault="00372EAD" w:rsidP="00372EAD">
          <w:pPr>
            <w:pStyle w:val="8CD0DD41ECEFAB40A5D1CD41D702E36F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C7805"/>
    <w:rsid w:val="00257F9D"/>
    <w:rsid w:val="00363435"/>
    <w:rsid w:val="00372EAD"/>
    <w:rsid w:val="00715315"/>
    <w:rsid w:val="00735B73"/>
    <w:rsid w:val="007361BF"/>
    <w:rsid w:val="00B22FD0"/>
    <w:rsid w:val="00C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EAD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  <w:style w:type="paragraph" w:customStyle="1" w:styleId="8CD0DD41ECEFAB40A5D1CD41D702E36F">
    <w:name w:val="8CD0DD41ECEFAB40A5D1CD41D702E36F"/>
    <w:rsid w:val="00372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22</cp:revision>
  <dcterms:created xsi:type="dcterms:W3CDTF">2016-02-08T13:10:00Z</dcterms:created>
  <dcterms:modified xsi:type="dcterms:W3CDTF">2021-09-02T13:01:00Z</dcterms:modified>
</cp:coreProperties>
</file>