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8F86C22" w14:textId="0D64ABE8" w:rsidR="006B7B65" w:rsidRPr="00BF1B7F" w:rsidRDefault="006B7B65" w:rsidP="006B7B65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>
        <w:t xml:space="preserve">. 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23D17E06" w14:textId="4672A4E3" w:rsidR="000D2483" w:rsidRPr="00A90C57" w:rsidRDefault="000D2483" w:rsidP="00A81372">
      <w:pPr>
        <w:ind w:firstLine="720"/>
        <w:jc w:val="both"/>
        <w:rPr>
          <w:b/>
          <w:bCs/>
        </w:rPr>
      </w:pPr>
      <w:r w:rsidRPr="000D2483">
        <w:rPr>
          <w:b/>
          <w:bCs/>
        </w:rPr>
        <w:t>Лот №1</w:t>
      </w:r>
    </w:p>
    <w:bookmarkEnd w:id="0"/>
    <w:p w14:paraId="1295C097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93800">
        <w:rPr>
          <w:b/>
          <w:bCs/>
          <w:u w:val="single"/>
          <w:lang w:eastAsia="en-US"/>
        </w:rPr>
        <w:t>жилой дом</w:t>
      </w:r>
      <w:r>
        <w:rPr>
          <w:lang w:eastAsia="en-US"/>
        </w:rPr>
        <w:t>, кадастровый номер 27:17:0302810:643, общей площадью 216,4 кв. м, этажность "2", расположенный по адресу: Хабаровский край, р-н Хабаровский, с. Тополево, кв-л Крылатское, д.24..</w:t>
      </w:r>
    </w:p>
    <w:p w14:paraId="160A2711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Принадлежит Кольцовой А.П. на праве собственности, что подтверждается записью регистрации в Едином государственном реестре прав на недвижимое имущество и сделок с ним № 27:17:0302810:643-27/020/2019-6 от 05.02.2019г.</w:t>
      </w:r>
    </w:p>
    <w:p w14:paraId="1E897239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Существующие ограничения (обременения): </w:t>
      </w:r>
    </w:p>
    <w:p w14:paraId="19EFAD48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№27:17:0302810:643-27/020/2021-15 от 23.03.2021 (Запрещение регистрации)</w:t>
      </w:r>
    </w:p>
    <w:p w14:paraId="1AD75BF4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№ 27:17:0302810:643-27/020/2020-14 от 25.12.2020 (Запрещение регистрации)</w:t>
      </w:r>
    </w:p>
    <w:p w14:paraId="52EF6D57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№ 27:17:0302810:643-27/020/2019-7 от 05.02.2019 (Залог в силу закона) в пользу ПАО СКБ Приморья "</w:t>
      </w:r>
      <w:proofErr w:type="spellStart"/>
      <w:r>
        <w:rPr>
          <w:lang w:eastAsia="en-US"/>
        </w:rPr>
        <w:t>Примсоцбанк</w:t>
      </w:r>
      <w:proofErr w:type="spellEnd"/>
      <w:r>
        <w:rPr>
          <w:lang w:eastAsia="en-US"/>
        </w:rPr>
        <w:t>".</w:t>
      </w:r>
    </w:p>
    <w:p w14:paraId="46428A4E" w14:textId="77777777" w:rsidR="00093800" w:rsidRDefault="00093800" w:rsidP="00093800">
      <w:pPr>
        <w:ind w:firstLine="567"/>
        <w:jc w:val="both"/>
        <w:rPr>
          <w:lang w:eastAsia="en-US"/>
        </w:rPr>
      </w:pPr>
    </w:p>
    <w:p w14:paraId="01C0BB2A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93800">
        <w:rPr>
          <w:b/>
          <w:bCs/>
          <w:u w:val="single"/>
          <w:lang w:eastAsia="en-US"/>
        </w:rPr>
        <w:t>Земельный участок</w:t>
      </w:r>
      <w:r>
        <w:rPr>
          <w:lang w:eastAsia="en-US"/>
        </w:rPr>
        <w:t xml:space="preserve">, кадастровый номер 27:17:0302810:684, общей площадью 929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., категория земель "Земли населенных пунктов", вид разрешенного использования "Для строительства жилых домов", расположенный по адресу: Хабаровский край, р-н Хабаровский, </w:t>
      </w:r>
      <w:proofErr w:type="spellStart"/>
      <w:r>
        <w:rPr>
          <w:lang w:eastAsia="en-US"/>
        </w:rPr>
        <w:t>с.Тополево</w:t>
      </w:r>
      <w:proofErr w:type="spellEnd"/>
      <w:r>
        <w:rPr>
          <w:lang w:eastAsia="en-US"/>
        </w:rPr>
        <w:t>, кв-л Крылатское, д.24.</w:t>
      </w:r>
    </w:p>
    <w:p w14:paraId="59D8F227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Принадлежит Кольцовой А.П. на праве собственности, что подтверждается записью регистрации в Едином государственном реестре прав на недвижимое имущество и сделок с ним № 27:17:0302810:684-27/020/2019-7 от 05.02.2019. </w:t>
      </w:r>
    </w:p>
    <w:p w14:paraId="72CEAF57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Существующие ограничения (обременения) по Лоту №1: </w:t>
      </w:r>
    </w:p>
    <w:p w14:paraId="7E298008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27:17:0302810:643-27/020/2021-15  от 23.03.2021  (Запрещение регистрации)</w:t>
      </w:r>
    </w:p>
    <w:p w14:paraId="1921B49C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№ 27:17:0302810:643-27/020/2020-14  от 25.12.2020  (Запрещение регистрации)</w:t>
      </w:r>
    </w:p>
    <w:p w14:paraId="3D1A8855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№ 27:17:0302810:643-27/020/2019-8  от 05.02.2019  (Залог в силу закона) в пользу ПАО СКБ Приморья "</w:t>
      </w:r>
      <w:proofErr w:type="spellStart"/>
      <w:r>
        <w:rPr>
          <w:lang w:eastAsia="en-US"/>
        </w:rPr>
        <w:t>Примсоцбанк</w:t>
      </w:r>
      <w:proofErr w:type="spellEnd"/>
      <w:r>
        <w:rPr>
          <w:lang w:eastAsia="en-US"/>
        </w:rPr>
        <w:t>".</w:t>
      </w:r>
    </w:p>
    <w:p w14:paraId="3DECFF8B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Банк гарантирует, при подаче документов на государственную регистрацию перехода права собственности на Объекты к покупателю, Банком будет подано заявление о погашении обременений Объектов, указанных в настоящем пункте. </w:t>
      </w:r>
    </w:p>
    <w:p w14:paraId="68BD676C" w14:textId="77777777" w:rsidR="00093800" w:rsidRDefault="00093800" w:rsidP="00093800">
      <w:pPr>
        <w:ind w:firstLine="567"/>
        <w:jc w:val="both"/>
        <w:rPr>
          <w:lang w:eastAsia="en-US"/>
        </w:rPr>
      </w:pPr>
      <w:r>
        <w:rPr>
          <w:lang w:eastAsia="en-US"/>
        </w:rPr>
        <w:t>ВАЖНО: Реализация имущества производится арбитражным управляющим Карасём Олегом Владимировичем (ИНН 254009887649, СНИЛС 14221277115), член МСО ПАУ (ИНН 7705494552, рег. номер №11 в госреестре от 18.07.2003 г. адрес СРО: 109240, г. Москва, Котельническая наб., д.17., действующим на основании Решения Арбитражного суда Хабаровского края от «20» мая 2021 года (результативная часть)  по делу № А73-12788/2020.</w:t>
      </w:r>
    </w:p>
    <w:p w14:paraId="4960AC18" w14:textId="58319DC7" w:rsidR="006B7B65" w:rsidRPr="00BB6EE7" w:rsidRDefault="00E14158" w:rsidP="006B7B65">
      <w:pPr>
        <w:ind w:firstLine="567"/>
        <w:jc w:val="both"/>
        <w:rPr>
          <w:b/>
          <w:bCs/>
        </w:rPr>
      </w:pPr>
      <w:r w:rsidRPr="00E14158">
        <w:rPr>
          <w:b/>
          <w:bCs/>
          <w:lang w:eastAsia="en-US"/>
        </w:rPr>
        <w:t>Начальная цена:</w:t>
      </w:r>
      <w:r>
        <w:rPr>
          <w:lang w:eastAsia="en-US"/>
        </w:rPr>
        <w:t xml:space="preserve"> </w:t>
      </w:r>
      <w:r w:rsidR="00093800" w:rsidRPr="00093800">
        <w:rPr>
          <w:b/>
          <w:bCs/>
          <w:lang w:eastAsia="en-US"/>
        </w:rPr>
        <w:t>6 750 000</w:t>
      </w:r>
      <w:r w:rsidR="00093800" w:rsidRPr="00093800">
        <w:rPr>
          <w:lang w:eastAsia="en-US"/>
        </w:rPr>
        <w:t xml:space="preserve"> (</w:t>
      </w:r>
      <w:r w:rsidR="00093800">
        <w:rPr>
          <w:lang w:eastAsia="en-US"/>
        </w:rPr>
        <w:t>Ш</w:t>
      </w:r>
      <w:r w:rsidR="00093800" w:rsidRPr="00093800">
        <w:rPr>
          <w:lang w:eastAsia="en-US"/>
        </w:rPr>
        <w:t>есть миллионов семьсот пятьдесят тысяч) руб. 00 коп., НДС не предусмотрен</w:t>
      </w:r>
      <w:r w:rsidR="00093800">
        <w:rPr>
          <w:lang w:eastAsia="en-US"/>
        </w:rPr>
        <w:t>;</w:t>
      </w:r>
    </w:p>
    <w:p w14:paraId="7392A387" w14:textId="319F9947" w:rsidR="00EE4E19" w:rsidRDefault="00C021C9" w:rsidP="00093800">
      <w:pPr>
        <w:ind w:firstLine="567"/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 w:rsidRPr="00C021C9">
        <w:t>:</w:t>
      </w:r>
      <w:r>
        <w:t xml:space="preserve"> </w:t>
      </w:r>
      <w:r w:rsidR="00093800" w:rsidRPr="00093800">
        <w:rPr>
          <w:b/>
          <w:bCs/>
        </w:rPr>
        <w:t>675 000</w:t>
      </w:r>
      <w:r w:rsidRPr="005A4A22">
        <w:t xml:space="preserve"> (</w:t>
      </w:r>
      <w:r w:rsidR="00093800">
        <w:t>Шестьсот семьдесят пять тысяч</w:t>
      </w:r>
      <w:r w:rsidRPr="005A4A22">
        <w:t>) руб</w:t>
      </w:r>
      <w:r w:rsidR="00EE4E19">
        <w:t>.</w:t>
      </w:r>
      <w:r w:rsidRPr="005A4A22">
        <w:t xml:space="preserve"> </w:t>
      </w:r>
      <w:r w:rsidR="00EE4E19">
        <w:t>00</w:t>
      </w:r>
      <w:r w:rsidRPr="005A4A22">
        <w:t xml:space="preserve"> коп</w:t>
      </w:r>
      <w:r w:rsidR="00EE4E19">
        <w:t xml:space="preserve">., </w:t>
      </w:r>
      <w:r w:rsidR="00EE4E19">
        <w:rPr>
          <w:lang w:eastAsia="en-US"/>
        </w:rPr>
        <w:t>НДС</w:t>
      </w:r>
      <w:r w:rsidR="00093800">
        <w:rPr>
          <w:lang w:eastAsia="en-US"/>
        </w:rPr>
        <w:t xml:space="preserve"> </w:t>
      </w:r>
      <w:r w:rsidR="00EE4E19">
        <w:rPr>
          <w:lang w:eastAsia="en-US"/>
        </w:rPr>
        <w:t>не предусмотрен;</w:t>
      </w:r>
    </w:p>
    <w:p w14:paraId="767359B6" w14:textId="722DD374" w:rsidR="00C021C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5555F7" w:rsidRPr="00EE4E19">
        <w:rPr>
          <w:b/>
          <w:bCs/>
          <w:lang w:eastAsia="en-US"/>
        </w:rPr>
        <w:t>10</w:t>
      </w:r>
      <w:r w:rsidRPr="00EE4E19">
        <w:rPr>
          <w:b/>
          <w:bCs/>
          <w:lang w:eastAsia="en-US"/>
        </w:rPr>
        <w:t xml:space="preserve">% от начальной цены </w:t>
      </w:r>
      <w:r w:rsidR="005555F7" w:rsidRPr="00EE4E19">
        <w:rPr>
          <w:b/>
          <w:bCs/>
          <w:lang w:eastAsia="en-US"/>
        </w:rPr>
        <w:t>соответствующего периода</w:t>
      </w:r>
      <w:r w:rsidRPr="00EE4E19">
        <w:rPr>
          <w:b/>
          <w:bCs/>
          <w:lang w:eastAsia="en-US"/>
        </w:rPr>
        <w:t>;</w:t>
      </w:r>
    </w:p>
    <w:p w14:paraId="166DD1E4" w14:textId="027EAD91" w:rsidR="00EE4E1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Pr="00EE4E19">
        <w:rPr>
          <w:b/>
          <w:bCs/>
          <w:lang w:eastAsia="en-US"/>
        </w:rPr>
        <w:t xml:space="preserve"> </w:t>
      </w:r>
      <w:r w:rsidR="00093800">
        <w:rPr>
          <w:b/>
          <w:bCs/>
          <w:lang w:eastAsia="en-US"/>
        </w:rPr>
        <w:t>675 000</w:t>
      </w:r>
      <w:r w:rsidR="005555F7" w:rsidRPr="00EE4E19">
        <w:rPr>
          <w:b/>
          <w:bCs/>
          <w:lang w:eastAsia="en-US"/>
        </w:rPr>
        <w:t xml:space="preserve"> </w:t>
      </w:r>
      <w:r w:rsidR="005555F7" w:rsidRPr="00EE4E19">
        <w:rPr>
          <w:lang w:eastAsia="en-US"/>
        </w:rPr>
        <w:t>(</w:t>
      </w:r>
      <w:r w:rsidR="00093800">
        <w:t>Шестьсот семьдесят пять тысяч</w:t>
      </w:r>
      <w:r w:rsidR="00EE4E19" w:rsidRPr="00EE4E19">
        <w:rPr>
          <w:lang w:eastAsia="en-US"/>
        </w:rPr>
        <w:t xml:space="preserve">) </w:t>
      </w:r>
      <w:r w:rsidR="005555F7" w:rsidRPr="00EE4E19">
        <w:rPr>
          <w:lang w:eastAsia="en-US"/>
        </w:rPr>
        <w:t>руб</w:t>
      </w:r>
      <w:r w:rsidR="00EE4E19">
        <w:rPr>
          <w:lang w:eastAsia="en-US"/>
        </w:rPr>
        <w:t>.</w:t>
      </w:r>
      <w:r w:rsidR="005555F7" w:rsidRPr="00EE4E19">
        <w:rPr>
          <w:lang w:eastAsia="en-US"/>
        </w:rPr>
        <w:t xml:space="preserve"> </w:t>
      </w:r>
      <w:r w:rsidR="00EE4E19" w:rsidRPr="00EE4E19">
        <w:rPr>
          <w:lang w:eastAsia="en-US"/>
        </w:rPr>
        <w:t>00</w:t>
      </w:r>
      <w:r w:rsidR="005555F7" w:rsidRPr="00EE4E19">
        <w:rPr>
          <w:lang w:eastAsia="en-US"/>
        </w:rPr>
        <w:t xml:space="preserve"> коп</w:t>
      </w:r>
      <w:r w:rsidR="00EE4E19">
        <w:rPr>
          <w:lang w:eastAsia="en-US"/>
        </w:rPr>
        <w:t>.</w:t>
      </w:r>
      <w:r w:rsidR="00093800">
        <w:rPr>
          <w:lang w:eastAsia="en-US"/>
        </w:rPr>
        <w:t>;</w:t>
      </w:r>
    </w:p>
    <w:p w14:paraId="52B3A8DD" w14:textId="7C882563" w:rsidR="006B7B65" w:rsidRDefault="00FB0F1B" w:rsidP="00EE4E19">
      <w:pPr>
        <w:ind w:firstLine="708"/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 w:rsidR="006B7B65">
        <w:rPr>
          <w:b/>
          <w:bCs/>
          <w:lang w:eastAsia="en-US"/>
        </w:rPr>
        <w:t>:</w:t>
      </w:r>
      <w:r w:rsidR="00093800">
        <w:rPr>
          <w:b/>
          <w:bCs/>
          <w:lang w:eastAsia="en-US"/>
        </w:rPr>
        <w:t xml:space="preserve"> 10 календарных дней</w:t>
      </w:r>
    </w:p>
    <w:p w14:paraId="0E0F5243" w14:textId="77777777" w:rsidR="00093800" w:rsidRDefault="00093800" w:rsidP="00EE4E19">
      <w:pPr>
        <w:ind w:firstLine="708"/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Сумма задатка 10%</w:t>
            </w:r>
          </w:p>
        </w:tc>
      </w:tr>
      <w:tr w:rsidR="00093800" w:rsidRPr="00512048" w14:paraId="5824339C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4A4AC5" w14:textId="0B1435AE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23.09.21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0234920" w14:textId="6132AD08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03.10.21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4B91723" w14:textId="562F1849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BB94A45" w14:textId="541C01B2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6 750 000,00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30785" w14:textId="4B61A5D0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675 000,00 ₽</w:t>
            </w:r>
          </w:p>
        </w:tc>
      </w:tr>
      <w:tr w:rsidR="00093800" w:rsidRPr="00512048" w14:paraId="759D65DD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DCCDA5" w14:textId="638A6824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04.10.21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4CA3B4F" w14:textId="1763956C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14.10.21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D523604" w14:textId="4BB96AE9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5EF1C03" w14:textId="7F0EE43C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6 075 000,00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24993" w14:textId="1210E3C5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607 500,00 ₽</w:t>
            </w:r>
          </w:p>
        </w:tc>
      </w:tr>
      <w:tr w:rsidR="00093800" w:rsidRPr="00512048" w14:paraId="30B37B0C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59CAD8" w14:textId="40BD32CA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15.10.21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C7882D" w14:textId="321D5261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25.10.21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6BFF9AB" w14:textId="2E8C893C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DD9EE5B" w14:textId="3463EBEC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5 400 000,00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A2613" w14:textId="5EE32129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540 000,00 ₽</w:t>
            </w:r>
          </w:p>
        </w:tc>
      </w:tr>
      <w:tr w:rsidR="00093800" w:rsidRPr="00512048" w14:paraId="09CE3F45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845485" w14:textId="139194A9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26.10.21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FAB785E" w14:textId="5F42EC64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05.11.21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0355FFB" w14:textId="5FE33476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AAFCBA4" w14:textId="524DD55F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4 725 000,00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439E7" w14:textId="799E08D9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472 500,00 ₽</w:t>
            </w:r>
          </w:p>
        </w:tc>
      </w:tr>
      <w:tr w:rsidR="00093800" w:rsidRPr="00512048" w14:paraId="4FEEF327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5DE05B" w14:textId="5AC8213E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06.11.21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474D5EE" w14:textId="648F00D7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16.11.21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13FE142" w14:textId="349948DA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AB153A1" w14:textId="689AFDAD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4 050 000,00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2193C" w14:textId="0D372C4D" w:rsidR="00093800" w:rsidRPr="00093800" w:rsidRDefault="00093800" w:rsidP="00093800">
            <w:pPr>
              <w:jc w:val="right"/>
              <w:rPr>
                <w:rFonts w:eastAsia="Times New Roman"/>
                <w:color w:val="FF0000"/>
              </w:rPr>
            </w:pPr>
            <w:r w:rsidRPr="00093800">
              <w:rPr>
                <w:color w:val="000000"/>
              </w:rPr>
              <w:t>405 000,00 ₽</w:t>
            </w:r>
          </w:p>
        </w:tc>
      </w:tr>
      <w:tr w:rsidR="00093800" w:rsidRPr="00512048" w14:paraId="5B70C51F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978E59E" w14:textId="18AB3182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17.11.21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E0DB073" w14:textId="7A971028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27.11.21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E36DB49" w14:textId="1053B6C2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69873923" w14:textId="7696FD6D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3 375 000,00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A7E7B5" w14:textId="19852D58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337 500,00 ₽</w:t>
            </w:r>
          </w:p>
        </w:tc>
      </w:tr>
      <w:tr w:rsidR="00093800" w:rsidRPr="00512048" w14:paraId="48847A2A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10472336" w14:textId="25294E6E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28.11.21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41E8624" w14:textId="3CB2940C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08.12.21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20CDD67" w14:textId="29E67224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7296BFD0" w14:textId="08B5AA7F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2 700 000,00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497119" w14:textId="3C5A6E54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270 000,00 ₽</w:t>
            </w:r>
          </w:p>
        </w:tc>
      </w:tr>
      <w:tr w:rsidR="00093800" w:rsidRPr="00512048" w14:paraId="03DCA218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1D4F6BEF" w14:textId="74475C16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09.12.21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0AEC7F07" w14:textId="70A4B472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19.12.21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DD1E2CC" w14:textId="79AB6E60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67F668E0" w14:textId="40B6478B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2 025 000,00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223F20" w14:textId="2BE38447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202 500,00 ₽</w:t>
            </w:r>
          </w:p>
        </w:tc>
      </w:tr>
      <w:tr w:rsidR="00093800" w:rsidRPr="00512048" w14:paraId="2B2F0399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424322BF" w14:textId="52565708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20.12.21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2498E3C9" w14:textId="5555B36F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30.12.21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18676D2A" w14:textId="53D187E2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52D3A140" w14:textId="2856CBC9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1 350 000,00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DDE88C" w14:textId="24D499F7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135 000,00 ₽</w:t>
            </w:r>
          </w:p>
        </w:tc>
      </w:tr>
      <w:tr w:rsidR="00093800" w:rsidRPr="00512048" w14:paraId="2795D1FC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45A9DC06" w14:textId="0B235833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31.12.21 0:00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206AAB0C" w14:textId="65FB4A3B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10.01.22 0:00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730AF2C" w14:textId="745BB1FE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61BCED38" w14:textId="7CC84113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675 000,00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E56D10" w14:textId="29757402" w:rsidR="00093800" w:rsidRPr="00093800" w:rsidRDefault="00093800" w:rsidP="00093800">
            <w:pPr>
              <w:jc w:val="right"/>
              <w:rPr>
                <w:color w:val="000000"/>
              </w:rPr>
            </w:pPr>
            <w:r w:rsidRPr="00093800">
              <w:rPr>
                <w:color w:val="000000"/>
              </w:rPr>
              <w:t>67 500,00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785F86D5" w14:textId="77777777" w:rsidR="00F675EE" w:rsidRDefault="00F675EE" w:rsidP="00F675EE">
      <w:pPr>
        <w:rPr>
          <w:b/>
          <w:bCs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77777777" w:rsidR="00725EC7" w:rsidRPr="00E2163C" w:rsidRDefault="00725EC7" w:rsidP="0031701D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F30D8B">
        <w:lastRenderedPageBreak/>
        <w:t>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7D817BD8" w:rsidR="00FB0F1B" w:rsidRDefault="00FB0F1B" w:rsidP="00FB0F1B">
      <w:pPr>
        <w:ind w:right="-57" w:firstLine="567"/>
        <w:jc w:val="both"/>
      </w:pPr>
      <w:r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</w:t>
      </w:r>
      <w:r>
        <w:lastRenderedPageBreak/>
        <w:t xml:space="preserve">ниже начальной цены продажи Лота, установленной для определенного периода проведения торгов, право приобретения </w:t>
      </w:r>
      <w:r w:rsidR="00093800">
        <w:t>Лота принадлежит</w:t>
      </w:r>
      <w:r>
        <w:t xml:space="preserve">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38D4421A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рабочих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</w:t>
      </w:r>
      <w:r w:rsidR="000938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93800" w:rsidRPr="00093800">
        <w:rPr>
          <w:rFonts w:ascii="Times New Roman" w:hAnsi="Times New Roman" w:cs="Times New Roman"/>
          <w:b/>
          <w:bCs/>
          <w:color w:val="auto"/>
          <w:sz w:val="22"/>
          <w:szCs w:val="22"/>
        </w:rPr>
        <w:t>в соответствии с формой, размещенной на сайте www.lot-online.ru в разделе «карточка лота»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EBB78ED" w14:textId="16CB0867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sectPr w:rsidR="006B31F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131C" w14:textId="77777777" w:rsidR="00E2755E" w:rsidRDefault="00E2755E" w:rsidP="008C3E4E">
      <w:r>
        <w:separator/>
      </w:r>
    </w:p>
  </w:endnote>
  <w:endnote w:type="continuationSeparator" w:id="0">
    <w:p w14:paraId="7602ABC6" w14:textId="77777777" w:rsidR="00E2755E" w:rsidRDefault="00E2755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DE00" w14:textId="77777777" w:rsidR="00E2755E" w:rsidRDefault="00E2755E" w:rsidP="008C3E4E">
      <w:r>
        <w:separator/>
      </w:r>
    </w:p>
  </w:footnote>
  <w:footnote w:type="continuationSeparator" w:id="0">
    <w:p w14:paraId="5396E153" w14:textId="77777777" w:rsidR="00E2755E" w:rsidRDefault="00E2755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800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7AA0"/>
    <w:rsid w:val="00C27DD6"/>
    <w:rsid w:val="00C30713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2755E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19278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11</cp:revision>
  <cp:lastPrinted>2017-11-23T14:19:00Z</cp:lastPrinted>
  <dcterms:created xsi:type="dcterms:W3CDTF">2020-12-02T07:22:00Z</dcterms:created>
  <dcterms:modified xsi:type="dcterms:W3CDTF">2021-09-20T04:06:00Z</dcterms:modified>
</cp:coreProperties>
</file>