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Pr="00052D6D" w:rsidRDefault="00BA5AA7" w:rsidP="00771DA0">
      <w:pPr>
        <w:ind w:firstLine="709"/>
        <w:jc w:val="center"/>
        <w:rPr>
          <w:spacing w:val="3"/>
          <w:sz w:val="22"/>
          <w:szCs w:val="22"/>
        </w:rPr>
      </w:pPr>
      <w:r w:rsidRPr="00052D6D">
        <w:rPr>
          <w:spacing w:val="3"/>
          <w:sz w:val="22"/>
          <w:szCs w:val="22"/>
        </w:rPr>
        <w:t>РАСПОРЯЖЕНИЕ</w:t>
      </w:r>
      <w:r w:rsidR="009F49BE" w:rsidRPr="00052D6D">
        <w:rPr>
          <w:spacing w:val="3"/>
          <w:sz w:val="22"/>
          <w:szCs w:val="22"/>
        </w:rPr>
        <w:t xml:space="preserve"> </w:t>
      </w:r>
      <w:r w:rsidR="00F070CE" w:rsidRPr="00052D6D">
        <w:rPr>
          <w:spacing w:val="3"/>
          <w:sz w:val="22"/>
          <w:szCs w:val="22"/>
        </w:rPr>
        <w:t>№</w:t>
      </w:r>
      <w:r w:rsidR="00052D6D" w:rsidRPr="00052D6D">
        <w:rPr>
          <w:spacing w:val="3"/>
          <w:sz w:val="22"/>
          <w:szCs w:val="22"/>
        </w:rPr>
        <w:t xml:space="preserve"> 1</w:t>
      </w:r>
      <w:r w:rsidR="00F070CE" w:rsidRPr="00052D6D">
        <w:rPr>
          <w:spacing w:val="3"/>
          <w:sz w:val="22"/>
          <w:szCs w:val="22"/>
        </w:rPr>
        <w:t xml:space="preserve"> </w:t>
      </w:r>
    </w:p>
    <w:p w:rsidR="00771DA0" w:rsidRPr="00052D6D" w:rsidRDefault="00076848" w:rsidP="00771DA0">
      <w:pPr>
        <w:ind w:firstLine="709"/>
        <w:jc w:val="center"/>
        <w:rPr>
          <w:spacing w:val="3"/>
          <w:sz w:val="22"/>
          <w:szCs w:val="22"/>
        </w:rPr>
      </w:pPr>
      <w:r w:rsidRPr="00052D6D">
        <w:rPr>
          <w:spacing w:val="3"/>
          <w:sz w:val="22"/>
          <w:szCs w:val="22"/>
        </w:rPr>
        <w:t>О</w:t>
      </w:r>
      <w:r w:rsidR="009F49BE" w:rsidRPr="00052D6D">
        <w:rPr>
          <w:spacing w:val="3"/>
          <w:sz w:val="22"/>
          <w:szCs w:val="22"/>
        </w:rPr>
        <w:t xml:space="preserve"> </w:t>
      </w:r>
      <w:r w:rsidR="008700C9" w:rsidRPr="00052D6D">
        <w:rPr>
          <w:spacing w:val="3"/>
          <w:sz w:val="22"/>
          <w:szCs w:val="22"/>
        </w:rPr>
        <w:t>ВНЕСЕНИИ ИЗМЕНЕНИЙ В</w:t>
      </w:r>
      <w:r w:rsidR="00BA5AA7" w:rsidRPr="00052D6D">
        <w:rPr>
          <w:spacing w:val="3"/>
          <w:sz w:val="22"/>
          <w:szCs w:val="22"/>
        </w:rPr>
        <w:t xml:space="preserve"> </w:t>
      </w:r>
      <w:r w:rsidR="008700C9" w:rsidRPr="00052D6D">
        <w:rPr>
          <w:spacing w:val="3"/>
          <w:sz w:val="22"/>
          <w:szCs w:val="22"/>
        </w:rPr>
        <w:t>ТОРГИ</w:t>
      </w:r>
      <w:r w:rsidR="00F070CE" w:rsidRPr="00052D6D">
        <w:rPr>
          <w:spacing w:val="3"/>
          <w:sz w:val="22"/>
          <w:szCs w:val="22"/>
        </w:rPr>
        <w:t xml:space="preserve"> </w:t>
      </w:r>
    </w:p>
    <w:p w:rsidR="00CE0AA9" w:rsidRPr="00052D6D" w:rsidRDefault="00771DA0" w:rsidP="00771DA0">
      <w:pPr>
        <w:ind w:firstLine="709"/>
        <w:jc w:val="center"/>
        <w:rPr>
          <w:sz w:val="22"/>
          <w:szCs w:val="22"/>
        </w:rPr>
      </w:pPr>
      <w:r w:rsidRPr="00052D6D">
        <w:rPr>
          <w:sz w:val="22"/>
          <w:szCs w:val="22"/>
        </w:rPr>
        <w:t xml:space="preserve">к поручению </w:t>
      </w:r>
      <w:r w:rsidR="00052D6D" w:rsidRPr="00052D6D">
        <w:rPr>
          <w:spacing w:val="-2"/>
          <w:sz w:val="22"/>
          <w:szCs w:val="22"/>
        </w:rPr>
        <w:t xml:space="preserve">от </w:t>
      </w:r>
      <w:r w:rsidR="00052D6D" w:rsidRPr="00052D6D">
        <w:rPr>
          <w:noProof/>
          <w:spacing w:val="-2"/>
          <w:sz w:val="22"/>
          <w:szCs w:val="22"/>
        </w:rPr>
        <w:t>16 сентября 2021</w:t>
      </w:r>
      <w:r w:rsidR="00052D6D" w:rsidRPr="00052D6D">
        <w:rPr>
          <w:b w:val="0"/>
          <w:spacing w:val="-2"/>
          <w:sz w:val="22"/>
          <w:szCs w:val="22"/>
        </w:rPr>
        <w:t xml:space="preserve"> </w:t>
      </w:r>
      <w:r w:rsidR="00052D6D" w:rsidRPr="00052D6D">
        <w:rPr>
          <w:spacing w:val="-2"/>
          <w:sz w:val="22"/>
          <w:szCs w:val="22"/>
        </w:rPr>
        <w:t xml:space="preserve">г. № </w:t>
      </w:r>
      <w:bookmarkStart w:id="0" w:name="_GoBack"/>
      <w:r w:rsidR="00052D6D" w:rsidRPr="00052D6D">
        <w:rPr>
          <w:sz w:val="22"/>
          <w:szCs w:val="22"/>
        </w:rPr>
        <w:t>2019-4790/78-П5</w:t>
      </w:r>
      <w:bookmarkEnd w:id="0"/>
    </w:p>
    <w:p w:rsidR="003E2968" w:rsidRPr="00052D6D" w:rsidRDefault="00771DA0" w:rsidP="00771DA0">
      <w:pPr>
        <w:ind w:firstLine="709"/>
        <w:jc w:val="center"/>
        <w:rPr>
          <w:sz w:val="22"/>
          <w:szCs w:val="22"/>
        </w:rPr>
      </w:pPr>
      <w:r w:rsidRPr="00052D6D">
        <w:rPr>
          <w:sz w:val="22"/>
          <w:szCs w:val="22"/>
        </w:rPr>
        <w:t>об организации и проведении торгов в электронной форме</w:t>
      </w:r>
    </w:p>
    <w:p w:rsidR="00DD7E34" w:rsidRPr="00052D6D" w:rsidRDefault="00DD7E34" w:rsidP="00771DA0">
      <w:pPr>
        <w:ind w:firstLine="709"/>
        <w:jc w:val="center"/>
        <w:rPr>
          <w:spacing w:val="3"/>
          <w:sz w:val="22"/>
          <w:szCs w:val="22"/>
        </w:rPr>
      </w:pPr>
    </w:p>
    <w:p w:rsidR="00B71312" w:rsidRDefault="00052D6D" w:rsidP="006F3875">
      <w:pPr>
        <w:tabs>
          <w:tab w:val="left" w:leader="underscore" w:pos="2835"/>
        </w:tabs>
        <w:spacing w:line="360" w:lineRule="auto"/>
        <w:jc w:val="center"/>
        <w:rPr>
          <w:spacing w:val="3"/>
          <w:sz w:val="22"/>
          <w:szCs w:val="22"/>
        </w:rPr>
      </w:pPr>
      <w:r w:rsidRPr="00052D6D">
        <w:rPr>
          <w:spacing w:val="3"/>
          <w:sz w:val="22"/>
          <w:szCs w:val="22"/>
        </w:rPr>
        <w:t>24 сентября</w:t>
      </w:r>
      <w:r w:rsidR="00DB676B" w:rsidRPr="00052D6D">
        <w:rPr>
          <w:spacing w:val="3"/>
          <w:sz w:val="22"/>
          <w:szCs w:val="22"/>
        </w:rPr>
        <w:t xml:space="preserve"> 202</w:t>
      </w:r>
      <w:r w:rsidR="00B71312" w:rsidRPr="00052D6D">
        <w:rPr>
          <w:spacing w:val="3"/>
          <w:sz w:val="22"/>
          <w:szCs w:val="22"/>
        </w:rPr>
        <w:t>1</w:t>
      </w:r>
      <w:r w:rsidR="00B40BCD" w:rsidRPr="00052D6D">
        <w:rPr>
          <w:spacing w:val="3"/>
          <w:sz w:val="22"/>
          <w:szCs w:val="22"/>
        </w:rPr>
        <w:t xml:space="preserve"> г.</w:t>
      </w:r>
      <w:r w:rsidR="00617EA2" w:rsidRPr="00B40BCD">
        <w:rPr>
          <w:spacing w:val="3"/>
          <w:sz w:val="22"/>
          <w:szCs w:val="22"/>
        </w:rPr>
        <w:t xml:space="preserve">   </w:t>
      </w: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Pr>
          <w:spacing w:val="3"/>
          <w:sz w:val="22"/>
          <w:szCs w:val="22"/>
        </w:rPr>
        <w:t>–</w:t>
      </w:r>
      <w:r w:rsidR="00CB7DA3" w:rsidRPr="00B40BCD">
        <w:rPr>
          <w:spacing w:val="3"/>
          <w:sz w:val="22"/>
          <w:szCs w:val="22"/>
        </w:rPr>
        <w:t xml:space="preserve"> </w:t>
      </w:r>
      <w:r w:rsidR="00052D6D" w:rsidRPr="00A9645C">
        <w:rPr>
          <w:noProof/>
          <w:spacing w:val="3"/>
          <w:sz w:val="22"/>
          <w:szCs w:val="22"/>
        </w:rPr>
        <w:t>25 сентября 2021 г.</w:t>
      </w:r>
      <w:r w:rsidR="0098384B" w:rsidRPr="00B40BCD">
        <w:rPr>
          <w:spacing w:val="3"/>
          <w:sz w:val="22"/>
          <w:szCs w:val="22"/>
        </w:rPr>
        <w:t xml:space="preserve"> </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052D6D">
        <w:rPr>
          <w:rFonts w:eastAsia="Calibri"/>
          <w:sz w:val="22"/>
          <w:szCs w:val="22"/>
        </w:rPr>
        <w:t>Коммерческий банк</w:t>
      </w:r>
      <w:r w:rsidR="00052D6D" w:rsidRPr="00F70712">
        <w:rPr>
          <w:rFonts w:eastAsia="Calibri"/>
          <w:sz w:val="22"/>
          <w:szCs w:val="22"/>
        </w:rPr>
        <w:t xml:space="preserve"> «Русский Славянский банк» (акционе</w:t>
      </w:r>
      <w:r w:rsidR="00052D6D">
        <w:rPr>
          <w:rFonts w:eastAsia="Calibri"/>
          <w:sz w:val="22"/>
          <w:szCs w:val="22"/>
        </w:rPr>
        <w:t>рное общество) (БАНК РСБ 24 (АО</w:t>
      </w:r>
      <w:r w:rsidR="00052D6D" w:rsidRPr="00F70712">
        <w:rPr>
          <w:rFonts w:eastAsia="Calibri"/>
          <w:sz w:val="22"/>
          <w:szCs w:val="22"/>
        </w:rPr>
        <w:t>)</w:t>
      </w:r>
      <w:r w:rsidR="00052D6D">
        <w:rPr>
          <w:rFonts w:eastAsia="Calibri"/>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r w:rsidR="00EA571A">
        <w:rPr>
          <w:spacing w:val="3"/>
          <w:sz w:val="22"/>
          <w:szCs w:val="22"/>
        </w:rPr>
        <w:t xml:space="preserve">аукцион и </w:t>
      </w:r>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6F3875" w:rsidP="006F3875">
      <w:pPr>
        <w:pStyle w:val="af3"/>
        <w:tabs>
          <w:tab w:val="left" w:pos="1134"/>
        </w:tabs>
        <w:jc w:val="both"/>
        <w:rPr>
          <w:spacing w:val="3"/>
          <w:sz w:val="22"/>
          <w:szCs w:val="22"/>
        </w:rPr>
      </w:pPr>
      <w:r>
        <w:rPr>
          <w:spacing w:val="3"/>
          <w:sz w:val="22"/>
          <w:szCs w:val="22"/>
        </w:rPr>
        <w:t>Прошу вне</w:t>
      </w:r>
      <w:r w:rsidR="00330B65">
        <w:rPr>
          <w:spacing w:val="3"/>
          <w:sz w:val="22"/>
          <w:szCs w:val="22"/>
        </w:rPr>
        <w:t>ст</w:t>
      </w:r>
      <w:r w:rsidR="00052D6D">
        <w:rPr>
          <w:spacing w:val="3"/>
          <w:sz w:val="22"/>
          <w:szCs w:val="22"/>
        </w:rPr>
        <w:t>и изменения в торги по лоту № 13</w:t>
      </w:r>
      <w:r w:rsidR="00330B65">
        <w:rPr>
          <w:spacing w:val="3"/>
          <w:sz w:val="22"/>
          <w:szCs w:val="22"/>
        </w:rPr>
        <w:t>:</w:t>
      </w:r>
    </w:p>
    <w:p w:rsidR="006F3875" w:rsidRPr="008512C1" w:rsidRDefault="006F3875" w:rsidP="006F3875">
      <w:pPr>
        <w:pStyle w:val="af3"/>
        <w:tabs>
          <w:tab w:val="left" w:pos="1134"/>
        </w:tabs>
        <w:jc w:val="both"/>
        <w:rPr>
          <w:spacing w:val="3"/>
          <w:sz w:val="22"/>
          <w:szCs w:val="22"/>
        </w:rPr>
      </w:pPr>
    </w:p>
    <w:tbl>
      <w:tblPr>
        <w:tblStyle w:val="af9"/>
        <w:tblW w:w="5000" w:type="pct"/>
        <w:tblLook w:val="04A0" w:firstRow="1" w:lastRow="0" w:firstColumn="1" w:lastColumn="0" w:noHBand="0" w:noVBand="1"/>
      </w:tblPr>
      <w:tblGrid>
        <w:gridCol w:w="1167"/>
        <w:gridCol w:w="8464"/>
      </w:tblGrid>
      <w:tr w:rsidR="00052D6D" w:rsidRPr="008512C1" w:rsidTr="00052D6D">
        <w:trPr>
          <w:trHeight w:val="214"/>
        </w:trPr>
        <w:tc>
          <w:tcPr>
            <w:tcW w:w="606" w:type="pct"/>
            <w:vAlign w:val="center"/>
          </w:tcPr>
          <w:p w:rsidR="00052D6D" w:rsidRPr="006F3875" w:rsidRDefault="00052D6D" w:rsidP="003540AD">
            <w:pPr>
              <w:pStyle w:val="af3"/>
              <w:tabs>
                <w:tab w:val="left" w:pos="1134"/>
              </w:tabs>
              <w:ind w:left="0"/>
              <w:jc w:val="center"/>
              <w:rPr>
                <w:b/>
                <w:spacing w:val="3"/>
                <w:sz w:val="22"/>
                <w:szCs w:val="22"/>
              </w:rPr>
            </w:pPr>
            <w:r w:rsidRPr="006F3875">
              <w:rPr>
                <w:b/>
                <w:spacing w:val="3"/>
                <w:sz w:val="22"/>
                <w:szCs w:val="22"/>
              </w:rPr>
              <w:t>№ лота</w:t>
            </w:r>
          </w:p>
        </w:tc>
        <w:tc>
          <w:tcPr>
            <w:tcW w:w="4394" w:type="pct"/>
            <w:vAlign w:val="center"/>
          </w:tcPr>
          <w:p w:rsidR="00052D6D" w:rsidRPr="006F3875" w:rsidRDefault="00052D6D" w:rsidP="003540AD">
            <w:pPr>
              <w:pStyle w:val="af3"/>
              <w:tabs>
                <w:tab w:val="left" w:pos="1134"/>
              </w:tabs>
              <w:ind w:left="0"/>
              <w:jc w:val="center"/>
              <w:rPr>
                <w:b/>
                <w:spacing w:val="3"/>
                <w:sz w:val="22"/>
                <w:szCs w:val="22"/>
              </w:rPr>
            </w:pPr>
            <w:r w:rsidRPr="006F3875">
              <w:rPr>
                <w:b/>
                <w:spacing w:val="3"/>
                <w:sz w:val="22"/>
                <w:szCs w:val="22"/>
              </w:rPr>
              <w:t>Наименование с учетом изменений</w:t>
            </w:r>
          </w:p>
        </w:tc>
      </w:tr>
      <w:tr w:rsidR="00052D6D" w:rsidRPr="008512C1" w:rsidTr="00052D6D">
        <w:trPr>
          <w:trHeight w:val="1137"/>
        </w:trPr>
        <w:tc>
          <w:tcPr>
            <w:tcW w:w="606" w:type="pct"/>
            <w:vAlign w:val="center"/>
          </w:tcPr>
          <w:p w:rsidR="00052D6D" w:rsidRPr="006F3875" w:rsidRDefault="00052D6D" w:rsidP="003116D3">
            <w:pPr>
              <w:pStyle w:val="af3"/>
              <w:tabs>
                <w:tab w:val="left" w:pos="1134"/>
              </w:tabs>
              <w:ind w:left="0"/>
              <w:jc w:val="center"/>
              <w:rPr>
                <w:spacing w:val="3"/>
                <w:sz w:val="22"/>
                <w:szCs w:val="22"/>
              </w:rPr>
            </w:pPr>
            <w:r>
              <w:rPr>
                <w:spacing w:val="3"/>
                <w:sz w:val="22"/>
                <w:szCs w:val="22"/>
              </w:rPr>
              <w:t>13</w:t>
            </w:r>
          </w:p>
        </w:tc>
        <w:tc>
          <w:tcPr>
            <w:tcW w:w="4394" w:type="pct"/>
            <w:vAlign w:val="center"/>
          </w:tcPr>
          <w:p w:rsidR="00052D6D" w:rsidRPr="004E2C3E" w:rsidRDefault="00052D6D" w:rsidP="00052D6D">
            <w:pPr>
              <w:pStyle w:val="af3"/>
              <w:tabs>
                <w:tab w:val="left" w:pos="1134"/>
              </w:tabs>
              <w:ind w:left="0"/>
              <w:rPr>
                <w:spacing w:val="3"/>
                <w:sz w:val="18"/>
                <w:szCs w:val="22"/>
                <w:highlight w:val="yellow"/>
              </w:rPr>
            </w:pPr>
            <w:r w:rsidRPr="00052D6D">
              <w:rPr>
                <w:spacing w:val="3"/>
                <w:sz w:val="22"/>
                <w:szCs w:val="22"/>
              </w:rPr>
              <w:t xml:space="preserve">Земельные участки </w:t>
            </w:r>
            <w:r w:rsidRPr="00052D6D">
              <w:rPr>
                <w:spacing w:val="3"/>
                <w:sz w:val="22"/>
                <w:szCs w:val="22"/>
              </w:rPr>
              <w:t>–</w:t>
            </w:r>
            <w:r w:rsidRPr="00052D6D">
              <w:rPr>
                <w:spacing w:val="3"/>
                <w:sz w:val="22"/>
                <w:szCs w:val="22"/>
              </w:rPr>
              <w:t xml:space="preserve"> 70</w:t>
            </w:r>
            <w:r w:rsidRPr="00052D6D">
              <w:rPr>
                <w:spacing w:val="3"/>
                <w:sz w:val="22"/>
                <w:szCs w:val="22"/>
              </w:rPr>
              <w:t xml:space="preserve">  </w:t>
            </w:r>
            <w:r w:rsidRPr="00052D6D">
              <w:rPr>
                <w:spacing w:val="3"/>
                <w:sz w:val="22"/>
                <w:szCs w:val="22"/>
              </w:rPr>
              <w:t>095 кв. м, инженерные сети, адрес: Ростовская обл., Мясниковский р-н, х. Ленинаван (148 поз.), земли населенных пунктов - отдельно стоящие жилые дома усадебного типа с земельными участками с возможностью содержания домашнего скота и птицы</w:t>
            </w:r>
            <w:r w:rsidRPr="00052D6D">
              <w:rPr>
                <w:spacing w:val="3"/>
                <w:sz w:val="22"/>
                <w:szCs w:val="22"/>
              </w:rPr>
              <w:t xml:space="preserve">. </w:t>
            </w:r>
            <w:r w:rsidRPr="00052D6D">
              <w:rPr>
                <w:b/>
                <w:spacing w:val="3"/>
                <w:sz w:val="22"/>
                <w:szCs w:val="22"/>
              </w:rPr>
              <w:t>Часть земельных участков расположены в полосе воздушных подходов аэродрома на удалении от 750 до 1 300 м. от начала взлетно-посадочной полосы.</w:t>
            </w:r>
          </w:p>
        </w:tc>
      </w:tr>
    </w:tbl>
    <w:p w:rsidR="006F3875" w:rsidRDefault="006F3875" w:rsidP="008751AE">
      <w:pPr>
        <w:tabs>
          <w:tab w:val="num" w:pos="0"/>
          <w:tab w:val="left" w:pos="426"/>
        </w:tabs>
        <w:jc w:val="both"/>
        <w:rPr>
          <w:b w:val="0"/>
          <w:spacing w:val="3"/>
          <w:sz w:val="22"/>
          <w:szCs w:val="22"/>
        </w:rPr>
      </w:pPr>
    </w:p>
    <w:p w:rsidR="00A52AA4" w:rsidRDefault="00A52AA4" w:rsidP="003E2968">
      <w:pPr>
        <w:tabs>
          <w:tab w:val="left" w:leader="underscore" w:pos="2835"/>
        </w:tabs>
        <w:ind w:firstLine="884"/>
        <w:jc w:val="both"/>
        <w:rPr>
          <w:b w:val="0"/>
          <w:spacing w:val="3"/>
          <w:sz w:val="22"/>
          <w:szCs w:val="22"/>
        </w:rPr>
      </w:pPr>
    </w:p>
    <w:p w:rsidR="00B96DDC" w:rsidRDefault="00B96DDC" w:rsidP="003E2968">
      <w:pPr>
        <w:tabs>
          <w:tab w:val="left" w:leader="underscore" w:pos="2835"/>
        </w:tabs>
        <w:ind w:firstLine="884"/>
        <w:jc w:val="both"/>
        <w:rPr>
          <w:b w:val="0"/>
          <w:spacing w:val="3"/>
          <w:sz w:val="22"/>
          <w:szCs w:val="22"/>
        </w:rPr>
      </w:pPr>
    </w:p>
    <w:p w:rsidR="00B96DDC" w:rsidRDefault="00B96DDC" w:rsidP="003E2968">
      <w:pPr>
        <w:tabs>
          <w:tab w:val="left" w:leader="underscore" w:pos="2835"/>
        </w:tabs>
        <w:ind w:firstLine="884"/>
        <w:jc w:val="both"/>
        <w:rPr>
          <w:b w:val="0"/>
          <w:spacing w:val="3"/>
          <w:sz w:val="22"/>
          <w:szCs w:val="22"/>
        </w:rPr>
      </w:pPr>
    </w:p>
    <w:p w:rsidR="00B96DDC" w:rsidRDefault="00B96DDC"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B96DDC">
        <w:rPr>
          <w:b w:val="0"/>
          <w:spacing w:val="3"/>
          <w:sz w:val="22"/>
          <w:szCs w:val="22"/>
        </w:rPr>
        <w:t>И.В. Черняков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052D6D">
      <w:rPr>
        <w:b w:val="0"/>
        <w:sz w:val="16"/>
        <w:szCs w:val="16"/>
      </w:rPr>
      <w:t>Леус Е.И.</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052D6D">
      <w:rPr>
        <w:b w:val="0"/>
        <w:sz w:val="16"/>
        <w:szCs w:val="16"/>
      </w:rPr>
      <w:t>8</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2D6D"/>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6DDC"/>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C9180-DF93-43E3-B81D-3AADF0FF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149</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1241</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Леус Екатерина Игоревна</cp:lastModifiedBy>
  <cp:revision>12</cp:revision>
  <cp:lastPrinted>2019-11-08T06:56:00Z</cp:lastPrinted>
  <dcterms:created xsi:type="dcterms:W3CDTF">2019-09-20T14:06:00Z</dcterms:created>
  <dcterms:modified xsi:type="dcterms:W3CDTF">2021-09-24T07:01:00Z</dcterms:modified>
</cp:coreProperties>
</file>