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C438414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6E71E7">
        <w:rPr>
          <w:b/>
        </w:rPr>
        <w:t>2</w:t>
      </w:r>
      <w:r w:rsidR="001C72B5">
        <w:rPr>
          <w:b/>
        </w:rPr>
        <w:t>9</w:t>
      </w:r>
      <w:r w:rsidR="00EB6BAE" w:rsidRPr="00EB6BAE">
        <w:t xml:space="preserve"> </w:t>
      </w:r>
      <w:r w:rsidR="00813776" w:rsidRPr="00813776">
        <w:rPr>
          <w:b/>
          <w:bCs/>
        </w:rPr>
        <w:t>сентября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928A2DB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1C72B5">
        <w:rPr>
          <w:b/>
          <w:bCs/>
          <w:szCs w:val="24"/>
        </w:rPr>
        <w:t>04</w:t>
      </w:r>
      <w:r w:rsidR="00D75444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51E26380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1C72B5">
        <w:rPr>
          <w:b/>
          <w:bCs/>
        </w:rPr>
        <w:t>01</w:t>
      </w:r>
      <w:r w:rsidR="00B14B1F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24A3AECC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1C72B5">
        <w:rPr>
          <w:b/>
          <w:bCs/>
        </w:rPr>
        <w:t>30</w:t>
      </w:r>
      <w:r w:rsidR="00B14B1F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сен</w:t>
      </w:r>
      <w:r w:rsidR="001C72B5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3F959208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C72B5">
        <w:rPr>
          <w:b/>
          <w:bCs/>
        </w:rPr>
        <w:t>01</w:t>
      </w:r>
      <w:r w:rsidR="007862B9">
        <w:rPr>
          <w:b/>
          <w:bCs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C72B5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6E71E7"/>
    <w:rsid w:val="00706571"/>
    <w:rsid w:val="007117B4"/>
    <w:rsid w:val="0071303A"/>
    <w:rsid w:val="00725B15"/>
    <w:rsid w:val="0074403E"/>
    <w:rsid w:val="007862B9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BHykMpwe7sgZghyuJCLYF+RTJ3wZmk57LUfRiPB5wZE=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ZDUtH/B5ShGNoxEkaUWwnlt03SUgNL0xQfwmvO+ZhdM=</DigestValue>
    </Reference>
  </SignedInfo>
  <SignatureValue>fRowFbrTf/mvax8KBFYXHQjNwlToV0g+CW+MjW6e0WgkmZFXmu2LDBfCJtDOw0Ky
SRgKU7OlSdi7tiRfDmURnQ==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WCSzIi1GR/vA6yo/W3CeBnNKTTQ=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SSTH1Orv00UEyQNcjC9hXUeCOws=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2021-09-28T07:09:49Z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2021-09-28T07:09:49Z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101</cp:revision>
  <cp:lastPrinted>2018-07-24T08:51:00Z</cp:lastPrinted>
  <dcterms:created xsi:type="dcterms:W3CDTF">2014-07-08T11:34:00Z</dcterms:created>
  <dcterms:modified xsi:type="dcterms:W3CDTF">2021-09-28T06:40:00Z</dcterms:modified>
</cp:coreProperties>
</file>