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5E23C5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6111D64D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2C167F36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422E72CB" w:rsidR="003C32B2" w:rsidRPr="003C32B2" w:rsidRDefault="00BD7FC5" w:rsidP="00E50B7F">
      <w:pPr>
        <w:pStyle w:val="ConsNormal"/>
        <w:widowControl/>
        <w:numPr>
          <w:ilvl w:val="0"/>
          <w:numId w:val="33"/>
        </w:numPr>
        <w:tabs>
          <w:tab w:val="left" w:pos="0"/>
        </w:tabs>
        <w:ind w:right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ество, расположенное по адресу</w:t>
      </w:r>
      <w:r w:rsidR="00FF7586" w:rsidRPr="00FF7586">
        <w:rPr>
          <w:rFonts w:ascii="Verdana" w:hAnsi="Verdana" w:cs="Times New Roman"/>
          <w:color w:val="000000" w:themeColor="text1"/>
        </w:rPr>
        <w:t xml:space="preserve">: </w:t>
      </w:r>
      <w:r w:rsidR="00E50B7F" w:rsidRPr="00E50B7F">
        <w:rPr>
          <w:rFonts w:ascii="Verdana" w:hAnsi="Verdana" w:cs="Times New Roman"/>
          <w:color w:val="000000" w:themeColor="text1"/>
        </w:rPr>
        <w:t>Св</w:t>
      </w:r>
      <w:r w:rsidR="00E50B7F">
        <w:rPr>
          <w:rFonts w:ascii="Verdana" w:hAnsi="Verdana" w:cs="Times New Roman"/>
          <w:color w:val="000000" w:themeColor="text1"/>
        </w:rPr>
        <w:t>ердловская область, г. Екатерин</w:t>
      </w:r>
      <w:r w:rsidR="00E50B7F" w:rsidRPr="00E50B7F">
        <w:rPr>
          <w:rFonts w:ascii="Verdana" w:hAnsi="Verdana" w:cs="Times New Roman"/>
          <w:color w:val="000000" w:themeColor="text1"/>
        </w:rPr>
        <w:t xml:space="preserve">бург, </w:t>
      </w:r>
      <w:r w:rsidR="00CB0CB0">
        <w:rPr>
          <w:rFonts w:ascii="Verdana" w:hAnsi="Verdana" w:cs="Times New Roman"/>
          <w:color w:val="000000" w:themeColor="text1"/>
        </w:rPr>
        <w:br/>
      </w:r>
      <w:r w:rsidR="00E50B7F" w:rsidRPr="00E50B7F">
        <w:rPr>
          <w:rFonts w:ascii="Verdana" w:hAnsi="Verdana" w:cs="Times New Roman"/>
          <w:color w:val="000000" w:themeColor="text1"/>
        </w:rPr>
        <w:t>ул. Генеральская, д. 3</w:t>
      </w:r>
      <w:r w:rsidR="00E50B7F">
        <w:rPr>
          <w:rFonts w:ascii="Verdana" w:hAnsi="Verdana" w:cs="Times New Roman"/>
          <w:color w:val="000000" w:themeColor="text1"/>
        </w:rPr>
        <w:t>,</w:t>
      </w:r>
      <w:r w:rsidR="003C32B2" w:rsidRPr="00FF7586">
        <w:rPr>
          <w:rFonts w:ascii="Verdana" w:hAnsi="Verdana" w:cs="Times New Roman"/>
          <w:color w:val="000000" w:themeColor="text1"/>
        </w:rPr>
        <w:t xml:space="preserve"> в составе</w:t>
      </w:r>
      <w:r w:rsidR="003C32B2" w:rsidRPr="003C32B2">
        <w:rPr>
          <w:rFonts w:ascii="Verdana" w:hAnsi="Verdana"/>
        </w:rPr>
        <w:t>:</w:t>
      </w:r>
    </w:p>
    <w:p w14:paraId="6B15BCC8" w14:textId="77777777" w:rsidR="00DD73EC" w:rsidRPr="00D223C3" w:rsidRDefault="00DD73EC" w:rsidP="00DD73EC">
      <w:pPr>
        <w:pStyle w:val="a5"/>
        <w:numPr>
          <w:ilvl w:val="2"/>
          <w:numId w:val="33"/>
        </w:numPr>
        <w:jc w:val="both"/>
        <w:rPr>
          <w:rFonts w:ascii="Verdana" w:hAnsi="Verdana" w:cs="Arial"/>
        </w:rPr>
      </w:pPr>
      <w:r w:rsidRPr="00D223C3">
        <w:rPr>
          <w:rFonts w:ascii="Verdana" w:hAnsi="Verdana"/>
          <w:color w:val="000000" w:themeColor="text1"/>
        </w:rPr>
        <w:t>Нежилое помещение, общей площадью 686.9 кв. м. расположенное по адресу: Свердловская область, г. Екатеринбург, ул. Генеральская, д. 3, кадастровый номер: 66:41:0704007:5333, этаж 1</w:t>
      </w:r>
      <w:r w:rsidRPr="00D223C3">
        <w:rPr>
          <w:rFonts w:ascii="Verdana" w:hAnsi="Verdana" w:cs="Arial"/>
        </w:rPr>
        <w:t>;</w:t>
      </w:r>
    </w:p>
    <w:p w14:paraId="3BF83C2B" w14:textId="77777777" w:rsidR="00DD73EC" w:rsidRPr="00D223C3" w:rsidRDefault="00DD73EC" w:rsidP="00DD73EC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D223C3">
        <w:rPr>
          <w:rFonts w:ascii="Verdana" w:hAnsi="Verdana"/>
          <w:color w:val="000000" w:themeColor="text1"/>
        </w:rPr>
        <w:t>Нежилое помещение, общей площадью 20.6 кв. м. расположенное по адресу: Свердловская область, г. Екатеринбург, ул. Генеральская, д. 3, кадастровый номер: 66:41:0704007:5334, этаж 1</w:t>
      </w:r>
      <w:r w:rsidRPr="00D223C3">
        <w:rPr>
          <w:rFonts w:ascii="Verdana" w:hAnsi="Verdana" w:cs="Arial"/>
        </w:rPr>
        <w:t>;</w:t>
      </w:r>
    </w:p>
    <w:p w14:paraId="3D290CAC" w14:textId="77777777" w:rsidR="00DD73EC" w:rsidRPr="00D223C3" w:rsidRDefault="00DD73EC" w:rsidP="00DD73EC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D223C3">
        <w:rPr>
          <w:rFonts w:ascii="Verdana" w:hAnsi="Verdana"/>
          <w:color w:val="000000" w:themeColor="text1"/>
        </w:rPr>
        <w:t>Нежилое помещение, общей площадью 126.2 кв. м. расположенное по адресу: Свердловская область, г. Екатеринбург, ул. Генеральская, д. 3, кадастровый номер: 66:41:0704007:5335, этаж 1</w:t>
      </w:r>
      <w:r w:rsidRPr="00D223C3">
        <w:rPr>
          <w:rFonts w:ascii="Verdana" w:hAnsi="Verdana" w:cs="Arial"/>
        </w:rPr>
        <w:t>;</w:t>
      </w:r>
    </w:p>
    <w:p w14:paraId="3D8A4A05" w14:textId="5DA53DCA" w:rsidR="00DD73EC" w:rsidRPr="00DD73EC" w:rsidRDefault="00DD73EC" w:rsidP="00DD73EC">
      <w:pPr>
        <w:pStyle w:val="a5"/>
        <w:numPr>
          <w:ilvl w:val="2"/>
          <w:numId w:val="33"/>
        </w:numPr>
        <w:ind w:left="1134" w:hanging="774"/>
        <w:jc w:val="both"/>
        <w:rPr>
          <w:rFonts w:ascii="Verdana" w:hAnsi="Verdana" w:cstheme="minorBidi"/>
          <w:color w:val="000000" w:themeColor="text1"/>
        </w:rPr>
      </w:pPr>
      <w:r w:rsidRPr="00D223C3">
        <w:rPr>
          <w:rFonts w:ascii="Verdana" w:hAnsi="Verdana"/>
          <w:color w:val="000000" w:themeColor="text1"/>
        </w:rPr>
        <w:lastRenderedPageBreak/>
        <w:t>Нежилое помещение, общей площадью 160.3 кв. м. расположенное по адресу: Свердловская область, г. Екатеринбург, ул. Генеральская, д. 3, кадастровый номер: 66:41:0704007:5350, этаж 1</w:t>
      </w:r>
      <w:r w:rsidRPr="00D223C3">
        <w:rPr>
          <w:rFonts w:ascii="Verdana" w:hAnsi="Verdana" w:cs="Arial"/>
        </w:rPr>
        <w:t>;</w:t>
      </w:r>
    </w:p>
    <w:p w14:paraId="7D464912" w14:textId="2F0F37EC" w:rsidR="00DD73EC" w:rsidRPr="00DD73EC" w:rsidRDefault="00455D2A" w:rsidP="00DD73EC">
      <w:pPr>
        <w:pStyle w:val="a5"/>
        <w:numPr>
          <w:ilvl w:val="1"/>
          <w:numId w:val="33"/>
        </w:numPr>
        <w:jc w:val="both"/>
        <w:rPr>
          <w:rFonts w:ascii="Verdana" w:hAnsi="Verdana"/>
          <w:color w:val="000000" w:themeColor="text1"/>
        </w:rPr>
      </w:pPr>
      <w:r w:rsidRPr="00C27328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основании_________________, о чем в Едином государственном реестре недвижимости сделана запись о регистрации №______ от __________, что подтверждается Выпиской из Единого государственного реестра недвижимости от ______________№__________________.</w:t>
      </w:r>
    </w:p>
    <w:p w14:paraId="0A1C64A3" w14:textId="4C9CC344" w:rsidR="00744645" w:rsidRPr="0008578B" w:rsidRDefault="00A351D2" w:rsidP="003D7A63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08578B">
        <w:rPr>
          <w:rFonts w:ascii="Verdana" w:hAnsi="Verdana"/>
          <w:color w:val="000000" w:themeColor="text1"/>
        </w:rPr>
        <w:t>Недвижимое имущество находится в здании с кадастровым номером 66:41:0704007:319</w:t>
      </w:r>
      <w:r w:rsidR="00F12B59" w:rsidRPr="0008578B">
        <w:rPr>
          <w:rFonts w:ascii="Verdana" w:hAnsi="Verdana"/>
          <w:color w:val="000000" w:themeColor="text1"/>
        </w:rPr>
        <w:t xml:space="preserve"> по адресу: Свердловская область, г. Екатеринбург, ул. Генеральская, д. 3</w:t>
      </w:r>
      <w:r w:rsidRPr="0008578B">
        <w:rPr>
          <w:rFonts w:ascii="Verdana" w:hAnsi="Verdana"/>
          <w:color w:val="000000" w:themeColor="text1"/>
        </w:rPr>
        <w:t>.</w:t>
      </w:r>
      <w:r w:rsidR="00CC6C5F" w:rsidRPr="0008578B">
        <w:rPr>
          <w:rFonts w:ascii="Verdana" w:hAnsi="Verdana"/>
          <w:color w:val="000000" w:themeColor="text1"/>
        </w:rPr>
        <w:t xml:space="preserve"> Указанное здание расположено на земельном участке с кадаст</w:t>
      </w:r>
      <w:r w:rsidR="003D7A63">
        <w:rPr>
          <w:rFonts w:ascii="Verdana" w:hAnsi="Verdana"/>
          <w:color w:val="000000" w:themeColor="text1"/>
        </w:rPr>
        <w:t xml:space="preserve">ровым номером 66:41:0704006:92. </w:t>
      </w:r>
      <w:bookmarkStart w:id="0" w:name="_GoBack"/>
      <w:bookmarkEnd w:id="0"/>
      <w:r w:rsidR="003D7A63" w:rsidRPr="003D7A63">
        <w:rPr>
          <w:rFonts w:ascii="Verdana" w:hAnsi="Verdana"/>
          <w:color w:val="000000" w:themeColor="text1"/>
        </w:rPr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4C5205B3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01B17867" w14:textId="77777777" w:rsidR="006F77DF" w:rsidRDefault="006F77D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3196ED8" w14:textId="17488F28" w:rsidR="008C6495" w:rsidRDefault="00AB5AEE" w:rsidP="00AB5AEE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775ECFE9" w14:textId="6251B1A8" w:rsidR="008B4F47" w:rsidRPr="00224F8A" w:rsidRDefault="008B4F47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B4F47" w:rsidRPr="00224F8A" w14:paraId="359B4382" w14:textId="77777777" w:rsidTr="009D0724">
        <w:tc>
          <w:tcPr>
            <w:tcW w:w="2268" w:type="dxa"/>
            <w:shd w:val="clear" w:color="auto" w:fill="auto"/>
          </w:tcPr>
          <w:p w14:paraId="4D203D58" w14:textId="77777777" w:rsidR="008B4F47" w:rsidRPr="00224F8A" w:rsidRDefault="008B4F47" w:rsidP="009D072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68DE3F52" w14:textId="77777777" w:rsidR="008B4F47" w:rsidRPr="00224F8A" w:rsidRDefault="008B4F47" w:rsidP="009D072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</w:t>
            </w:r>
            <w:r>
              <w:rPr>
                <w:rStyle w:val="af4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footnoteReference w:id="1"/>
            </w: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кроме аренды</w:t>
            </w:r>
          </w:p>
        </w:tc>
        <w:tc>
          <w:tcPr>
            <w:tcW w:w="7196" w:type="dxa"/>
            <w:shd w:val="clear" w:color="auto" w:fill="auto"/>
          </w:tcPr>
          <w:p w14:paraId="31300B46" w14:textId="77777777" w:rsidR="008B4F47" w:rsidRPr="00224F8A" w:rsidRDefault="008B4F47" w:rsidP="009D0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B2D5825" w14:textId="299D8DA7" w:rsidR="008B4F47" w:rsidRPr="00224F8A" w:rsidRDefault="008B4F47" w:rsidP="00FF7DC7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отношении недвижимого имущества заключены договоры аренды/субаренды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перечисленные в </w:t>
            </w:r>
            <w:r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Приложении №</w:t>
            </w:r>
            <w:r w:rsidR="00FF7DC7"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Договору.</w:t>
            </w:r>
          </w:p>
        </w:tc>
      </w:tr>
    </w:tbl>
    <w:p w14:paraId="2F6BC875" w14:textId="0E7F7416" w:rsidR="008B4F47" w:rsidRDefault="008B4F47" w:rsidP="00DD73E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556F7F1B" w:rsidR="00E0243A" w:rsidRDefault="00D22B2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 xml:space="preserve">. Покупатель </w:t>
      </w:r>
      <w:r w:rsidR="008B4F47">
        <w:rPr>
          <w:rFonts w:ascii="Verdana" w:hAnsi="Verdana" w:cs="Times New Roman"/>
        </w:rPr>
        <w:t xml:space="preserve"> до </w:t>
      </w:r>
      <w:r w:rsidRPr="0005653D">
        <w:rPr>
          <w:rFonts w:ascii="Verdana" w:hAnsi="Verdana" w:cs="Times New Roman"/>
        </w:rPr>
        <w:t>подписания ДКП ознакомлен с недвижим</w:t>
      </w:r>
      <w:r w:rsidR="00D729C2">
        <w:rPr>
          <w:rFonts w:ascii="Verdana" w:hAnsi="Verdana" w:cs="Times New Roman"/>
        </w:rPr>
        <w:t>ым имуществом</w:t>
      </w:r>
      <w:r w:rsidR="00D43697" w:rsidRPr="0005653D">
        <w:rPr>
          <w:rFonts w:ascii="Verdana" w:hAnsi="Verdana" w:cs="Times New Roman"/>
        </w:rPr>
        <w:t>,</w:t>
      </w:r>
      <w:r w:rsidR="008B4F47" w:rsidRPr="008B4F47">
        <w:t xml:space="preserve"> </w:t>
      </w:r>
      <w:r w:rsidR="008B4F47" w:rsidRPr="008B4F47">
        <w:rPr>
          <w:rFonts w:ascii="Verdana" w:hAnsi="Verdana" w:cs="Times New Roman"/>
        </w:rPr>
        <w:t>в том числе техническим состоянием системы пожарного водопровода, ознакомлен с документацией на объект недвижимости, в том числе с документацией, связанной с системой пожарного водопровода,</w:t>
      </w:r>
      <w:r w:rsidRPr="0005653D">
        <w:rPr>
          <w:rFonts w:ascii="Verdana" w:hAnsi="Verdana" w:cs="Times New Roman"/>
        </w:rPr>
        <w:t xml:space="preserve"> </w:t>
      </w:r>
      <w:r w:rsidR="00744645">
        <w:rPr>
          <w:rFonts w:ascii="Verdana" w:hAnsi="Verdana" w:cs="Times New Roman"/>
        </w:rPr>
        <w:t xml:space="preserve"> с </w:t>
      </w:r>
      <w:r w:rsidR="003E1E86">
        <w:rPr>
          <w:rFonts w:ascii="Verdana" w:hAnsi="Verdana" w:cs="Times New Roman"/>
        </w:rPr>
        <w:t>правами на земельный участок,</w:t>
      </w:r>
      <w:r w:rsidR="00D43697" w:rsidRPr="0005653D">
        <w:rPr>
          <w:rFonts w:ascii="Verdana" w:hAnsi="Verdana" w:cs="Times New Roman"/>
        </w:rPr>
        <w:t xml:space="preserve"> </w:t>
      </w:r>
      <w:r w:rsidRPr="0005653D">
        <w:rPr>
          <w:rFonts w:ascii="Verdana" w:hAnsi="Verdana" w:cs="Times New Roman"/>
        </w:rPr>
        <w:t xml:space="preserve">а также уведомлен о необходимости </w:t>
      </w:r>
      <w:r w:rsidR="0005653D" w:rsidRPr="0005653D">
        <w:rPr>
          <w:rFonts w:ascii="Verdana" w:hAnsi="Verdana" w:cs="Times New Roman"/>
        </w:rPr>
        <w:t>привести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в</w:t>
      </w:r>
      <w:r w:rsidRPr="0005653D">
        <w:rPr>
          <w:rFonts w:ascii="Verdana" w:hAnsi="Verdana" w:cs="Times New Roman"/>
        </w:rPr>
        <w:t xml:space="preserve"> соответствие с правилами пожарной </w:t>
      </w:r>
      <w:r w:rsidR="0005653D" w:rsidRPr="0005653D">
        <w:rPr>
          <w:rFonts w:ascii="Verdana" w:hAnsi="Verdana" w:cs="Times New Roman"/>
        </w:rPr>
        <w:t>безопасности,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соответствуют</w:t>
      </w:r>
      <w:r w:rsidRPr="0005653D">
        <w:rPr>
          <w:rFonts w:ascii="Verdana" w:hAnsi="Verdana" w:cs="Times New Roman"/>
        </w:rPr>
        <w:t xml:space="preserve"> требованиям Покупателя, претензий по </w:t>
      </w:r>
      <w:r w:rsidR="00DC223C" w:rsidRPr="0005653D">
        <w:rPr>
          <w:rFonts w:ascii="Verdana" w:hAnsi="Verdana" w:cs="Times New Roman"/>
        </w:rPr>
        <w:t>состоянию недвижимого</w:t>
      </w:r>
      <w:r w:rsidR="00D43697" w:rsidRPr="0005653D">
        <w:rPr>
          <w:rFonts w:ascii="Verdana" w:hAnsi="Verdana" w:cs="Times New Roman"/>
        </w:rPr>
        <w:t xml:space="preserve"> имущества </w:t>
      </w:r>
      <w:r w:rsidRPr="0005653D">
        <w:rPr>
          <w:rFonts w:ascii="Verdana" w:hAnsi="Verdana" w:cs="Times New Roman"/>
        </w:rPr>
        <w:t>Покупатель не имеет.</w:t>
      </w:r>
    </w:p>
    <w:p w14:paraId="3EB61FF3" w14:textId="2F1FE16E" w:rsidR="00C335A9" w:rsidRDefault="00C335A9" w:rsidP="00C335A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5181199" w14:textId="77777777" w:rsidR="00C335A9" w:rsidRDefault="00C335A9" w:rsidP="00C335A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643B62E" w14:textId="57146927" w:rsidR="00CF1A05" w:rsidRPr="00A3380C" w:rsidRDefault="00CF1A05" w:rsidP="00A3380C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27DFD5B" w14:textId="02B6790F" w:rsidR="00A3380C" w:rsidRPr="000E096A" w:rsidRDefault="00CF1A05" w:rsidP="000E096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______________________(__________________)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6E67DF41" w14:textId="77777777" w:rsidR="00F45D48" w:rsidRDefault="00F45D48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3E337819" w14:textId="7F190515" w:rsidR="00DD73EC" w:rsidRP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DD73EC">
        <w:rPr>
          <w:rFonts w:ascii="Verdana" w:hAnsi="Verdana"/>
        </w:rPr>
        <w:t xml:space="preserve">- Стоимость нежилого помещения, кадастровый номер 66:41:0704007:5333, этаж 1, площадью 686.9 кв.м,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</w:t>
      </w:r>
      <w:r>
        <w:rPr>
          <w:rFonts w:ascii="Verdana" w:hAnsi="Verdana"/>
        </w:rPr>
        <w:t>действующим законодательством);</w:t>
      </w:r>
    </w:p>
    <w:p w14:paraId="323C14A9" w14:textId="77777777" w:rsid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7933078" w14:textId="7DBC0C98" w:rsidR="00DD73EC" w:rsidRP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DD73EC">
        <w:rPr>
          <w:rFonts w:ascii="Verdana" w:hAnsi="Verdana"/>
        </w:rPr>
        <w:t>- Стоимость нежилого помещения, кадастровый номер 66:41:0704007:5334, этаж 1, площадью 20.6 кв.м,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44B7602F" w14:textId="77777777" w:rsidR="00DD73EC" w:rsidRP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49F1B6D4" w14:textId="77777777" w:rsidR="00DD73EC" w:rsidRP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DD73EC">
        <w:rPr>
          <w:rFonts w:ascii="Verdana" w:hAnsi="Verdana"/>
        </w:rPr>
        <w:t>- Стоимость нежилого помещения, кадастровый номер 66:41:0704007:5335, этаж 1, площадью 126.2 кв.м,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58FFAEFE" w14:textId="77777777" w:rsidR="00DD73EC" w:rsidRP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63E92727" w14:textId="77777777" w:rsidR="00DD73EC" w:rsidRPr="00DD73E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2588F270" w14:textId="028FFE0E" w:rsidR="00A3380C" w:rsidRDefault="00DD73EC" w:rsidP="00DD73E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DD73EC">
        <w:rPr>
          <w:rFonts w:ascii="Verdana" w:hAnsi="Verdana"/>
        </w:rPr>
        <w:t>- Стоимость нежилого помещения, кадастровый номер 66:41:0704007:5350, этаж 1, площадью 160.3 кв.м, адрес (местонахождение): Свердловская область, г. Екатеринбург, ул. Генеральская, д. 3 составляет ______________________(__________________) рублей ___ копеек (в том числе НДС исчисленный в соответствии с действующим законодательством);</w:t>
      </w:r>
    </w:p>
    <w:p w14:paraId="397654BC" w14:textId="5227523B" w:rsidR="000E096A" w:rsidRPr="008509DF" w:rsidRDefault="000E096A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6479FFF" w:rsidR="00AB5223" w:rsidRPr="008509DF" w:rsidRDefault="00DE0E51" w:rsidP="000E254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3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2EB51A20" w14:textId="3BCB554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4DC068D4" w14:textId="57DD33E1" w:rsidR="00D22B24" w:rsidRPr="00373E89" w:rsidRDefault="00D22B24" w:rsidP="00FC0A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6AA4D00F" w:rsidR="009D6025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162"/>
      </w:tblGrid>
      <w:tr w:rsidR="00FC0A58" w:rsidRPr="001F4AB1" w14:paraId="2E3350C8" w14:textId="77777777" w:rsidTr="009D0724">
        <w:tc>
          <w:tcPr>
            <w:tcW w:w="2268" w:type="dxa"/>
            <w:shd w:val="clear" w:color="auto" w:fill="auto"/>
          </w:tcPr>
          <w:p w14:paraId="1B2CF0C2" w14:textId="05E36819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1CF7C1" w14:textId="7F5C3919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посредством аккредитива</w:t>
            </w:r>
            <w:r w:rsid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том числе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40596035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020F8D2" w14:textId="7DD3D161" w:rsidR="0041216F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>копеек,</w:t>
            </w:r>
            <w:r w:rsidR="0041216F">
              <w:rPr>
                <w:rFonts w:ascii="Verdana" w:hAnsi="Verdana"/>
                <w:sz w:val="20"/>
                <w:szCs w:val="20"/>
              </w:rPr>
              <w:t xml:space="preserve"> в том числе НДС,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216F" w:rsidRPr="0041216F">
              <w:rPr>
                <w:rFonts w:ascii="Verdana" w:hAnsi="Verdana"/>
                <w:color w:val="0070C0"/>
                <w:sz w:val="20"/>
                <w:szCs w:val="20"/>
              </w:rPr>
              <w:t>исчисленный в соответствии с действующим законодательством</w:t>
            </w:r>
            <w:r w:rsidR="0041216F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  <w:p w14:paraId="2C282E3C" w14:textId="4EBD52DE" w:rsidR="00FC0A58" w:rsidRPr="001F4AB1" w:rsidRDefault="0041216F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121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FC0A58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C8277C2" w14:textId="18905B0F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41216F" w:rsidRPr="004121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54391DA6" w14:textId="38EE556C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</w:t>
            </w:r>
            <w:r w:rsidR="0041216F" w:rsidRPr="004121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FC0A58" w:rsidRPr="001F4AB1" w14:paraId="4104F61D" w14:textId="77777777" w:rsidTr="009D0724">
        <w:tc>
          <w:tcPr>
            <w:tcW w:w="2268" w:type="dxa"/>
            <w:shd w:val="clear" w:color="auto" w:fill="auto"/>
          </w:tcPr>
          <w:p w14:paraId="01AEDC94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оплаты  </w:t>
            </w:r>
          </w:p>
          <w:p w14:paraId="2C50DE07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562783B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1DAB3711" w14:textId="3FF3D788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  <w:p w14:paraId="4C6C5387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4B9DC41" w14:textId="77777777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9439069" w14:textId="3147DBEC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2.2.1.1 Сумма денежных средств в размере ______ (_______) рублей, </w:t>
            </w:r>
            <w:r w:rsidR="0041216F" w:rsidRPr="0041216F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hAnsi="Verdana"/>
                <w:sz w:val="20"/>
                <w:szCs w:val="20"/>
              </w:rPr>
              <w:t>, выплачивается Покупателем за счёт собственных средств.</w:t>
            </w:r>
          </w:p>
          <w:p w14:paraId="30081471" w14:textId="307BD817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(</w:t>
            </w:r>
            <w:r w:rsidR="0041216F" w:rsidRPr="0041216F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4FCECD67" w14:textId="1E7ACCB9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C8562" w14:textId="224A733B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1CC1C0" w14:textId="466D0D3D" w:rsidR="00FC0A58" w:rsidRDefault="00FC0A58" w:rsidP="00DD7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01E8D4" w14:textId="77777777" w:rsidR="00FC0A58" w:rsidRPr="008076AD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5C10F23D" w:rsidR="003D002A" w:rsidRPr="000E254A" w:rsidRDefault="00E44495" w:rsidP="00DD73EC">
            <w:pPr>
              <w:pStyle w:val="a5"/>
              <w:numPr>
                <w:ilvl w:val="2"/>
                <w:numId w:val="22"/>
              </w:numPr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DD73EC" w:rsidRPr="00DD73EC">
              <w:rPr>
                <w:rFonts w:ascii="Verdana" w:hAnsi="Verdana"/>
              </w:rPr>
              <w:t>4 583 520</w:t>
            </w:r>
            <w:r w:rsidR="00FF7DC7" w:rsidRPr="00FF7DC7">
              <w:rPr>
                <w:rFonts w:ascii="Verdana" w:hAnsi="Verdana"/>
              </w:rPr>
              <w:t xml:space="preserve"> </w:t>
            </w:r>
            <w:r w:rsidR="003D002A" w:rsidRPr="00633CF9">
              <w:rPr>
                <w:rFonts w:ascii="Verdana" w:hAnsi="Verdana"/>
              </w:rPr>
              <w:t>(</w:t>
            </w:r>
            <w:r w:rsidR="00DD73EC" w:rsidRPr="00DD73EC">
              <w:rPr>
                <w:rFonts w:ascii="Verdana" w:hAnsi="Verdana"/>
              </w:rPr>
              <w:t>Четыре миллиона пятьсот восемьдесят три тысячи пятьсот двадцать</w:t>
            </w:r>
            <w:r w:rsidR="003D002A" w:rsidRPr="00633CF9">
              <w:rPr>
                <w:rFonts w:ascii="Verdana" w:hAnsi="Verdana"/>
              </w:rPr>
              <w:t xml:space="preserve">)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633CF9" w:rsidRPr="00633CF9">
              <w:rPr>
                <w:rFonts w:ascii="Verdana" w:hAnsi="Verdana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633CF9">
              <w:rPr>
                <w:rFonts w:ascii="Verdana" w:hAnsi="Verdana"/>
              </w:rPr>
              <w:t xml:space="preserve">(в том числе НДС, исчисленный в соответствии </w:t>
            </w:r>
            <w:r w:rsidR="000E254A" w:rsidRPr="00633CF9">
              <w:rPr>
                <w:rFonts w:ascii="Verdana" w:hAnsi="Verdana"/>
              </w:rPr>
              <w:t>с действующим законодательством</w:t>
            </w:r>
            <w:r w:rsidR="003D002A" w:rsidRPr="00633CF9">
              <w:rPr>
                <w:rFonts w:ascii="Verdana" w:hAnsi="Verdana"/>
              </w:rPr>
              <w:t xml:space="preserve">),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5C1C1521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="003A21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собственными средствами с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использовани</w:t>
            </w:r>
            <w:r w:rsidR="003A2102">
              <w:rPr>
                <w:rFonts w:ascii="Verdana" w:hAnsi="Verdana"/>
                <w:i/>
                <w:color w:val="FF0000"/>
                <w:sz w:val="20"/>
                <w:szCs w:val="20"/>
              </w:rPr>
              <w:t>ем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аккредитива 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10AABCB" w:rsidR="000A1317" w:rsidRPr="00D729C2" w:rsidRDefault="008F55DE" w:rsidP="00367E78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</w:t>
            </w:r>
            <w:r w:rsidR="000A1317" w:rsidRPr="00633CF9">
              <w:rPr>
                <w:rFonts w:ascii="Verdana" w:hAnsi="Verdana"/>
                <w:color w:val="000000" w:themeColor="text1"/>
              </w:rPr>
              <w:t>вить действия, необходимые для снятия обременения</w:t>
            </w:r>
            <w:r w:rsidR="002D2A49" w:rsidRPr="00633CF9">
              <w:rPr>
                <w:rFonts w:ascii="Verdana" w:hAnsi="Verdana"/>
                <w:color w:val="000000" w:themeColor="text1"/>
              </w:rPr>
              <w:t xml:space="preserve"> н</w:t>
            </w:r>
            <w:r w:rsidR="00387FA5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возникшего в соответствии с п. 2.6 </w:t>
            </w:r>
            <w:r w:rsidR="00CB783A" w:rsidRPr="00633CF9">
              <w:rPr>
                <w:rFonts w:ascii="Verdana" w:hAnsi="Verdana"/>
                <w:color w:val="000000" w:themeColor="text1"/>
              </w:rPr>
              <w:t>Договора</w:t>
            </w:r>
            <w:r w:rsidR="002D77F1" w:rsidRPr="00633CF9">
              <w:rPr>
                <w:rFonts w:ascii="Verdana" w:hAnsi="Verdana"/>
                <w:color w:val="000000" w:themeColor="text1"/>
              </w:rPr>
              <w:t xml:space="preserve"> (совместно подать заявления о погашении залога в силу закона)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 течение </w:t>
            </w:r>
            <w:r w:rsidR="00367E78">
              <w:rPr>
                <w:rFonts w:ascii="Verdana" w:hAnsi="Verdana"/>
                <w:color w:val="000000" w:themeColor="text1"/>
              </w:rPr>
              <w:t>2</w:t>
            </w:r>
            <w:r w:rsidR="00367E78" w:rsidRPr="00633CF9">
              <w:rPr>
                <w:rFonts w:ascii="Verdana" w:hAnsi="Verdana"/>
                <w:color w:val="000000" w:themeColor="text1"/>
              </w:rPr>
              <w:t xml:space="preserve">0 </w:t>
            </w:r>
            <w:r w:rsidR="000A1317" w:rsidRPr="00633CF9">
              <w:rPr>
                <w:rFonts w:ascii="Verdana" w:hAnsi="Verdana"/>
                <w:color w:val="000000" w:themeColor="text1"/>
              </w:rPr>
              <w:t>(</w:t>
            </w:r>
            <w:r w:rsidR="00367E78" w:rsidRPr="00633CF9">
              <w:rPr>
                <w:rFonts w:ascii="Verdana" w:hAnsi="Verdana"/>
                <w:color w:val="000000" w:themeColor="text1"/>
              </w:rPr>
              <w:t>д</w:t>
            </w:r>
            <w:r w:rsidR="00367E78">
              <w:rPr>
                <w:rFonts w:ascii="Verdana" w:hAnsi="Verdana"/>
                <w:color w:val="000000" w:themeColor="text1"/>
              </w:rPr>
              <w:t>вадца</w:t>
            </w:r>
            <w:r w:rsidR="00367E78" w:rsidRPr="00633CF9">
              <w:rPr>
                <w:rFonts w:ascii="Verdana" w:hAnsi="Verdana"/>
                <w:color w:val="000000" w:themeColor="text1"/>
              </w:rPr>
              <w:t>ти</w:t>
            </w:r>
            <w:r w:rsidR="000A1317" w:rsidRPr="00633CF9">
              <w:rPr>
                <w:rFonts w:ascii="Verdana" w:hAnsi="Verdana"/>
                <w:color w:val="000000" w:themeColor="text1"/>
              </w:rPr>
              <w:t>) рабочих дней с момента исполнения Покупателем обязательств</w:t>
            </w:r>
            <w:r w:rsidR="00CD0BC6" w:rsidRPr="00633CF9">
              <w:rPr>
                <w:rFonts w:ascii="Verdana" w:hAnsi="Verdana"/>
                <w:color w:val="000000" w:themeColor="text1"/>
              </w:rPr>
              <w:t xml:space="preserve"> по оплате</w:t>
            </w:r>
            <w:r w:rsidR="00F8488D" w:rsidRPr="00633CF9">
              <w:rPr>
                <w:rFonts w:ascii="Verdana" w:hAnsi="Verdana"/>
                <w:color w:val="000000" w:themeColor="text1"/>
              </w:rPr>
              <w:t xml:space="preserve"> ц</w:t>
            </w:r>
            <w:r w:rsidR="003C33D0" w:rsidRPr="00633CF9">
              <w:rPr>
                <w:rFonts w:ascii="Verdana" w:hAnsi="Verdana"/>
                <w:color w:val="000000" w:themeColor="text1"/>
              </w:rPr>
              <w:t>ены н</w:t>
            </w:r>
            <w:r w:rsidR="00CD0BC6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920057" w:rsidRPr="00633CF9">
              <w:rPr>
                <w:rFonts w:ascii="Verdana" w:hAnsi="Verdana"/>
                <w:color w:val="000000" w:themeColor="text1"/>
              </w:rPr>
              <w:t xml:space="preserve"> в полном объеме</w:t>
            </w:r>
            <w:r w:rsidR="00283B7A" w:rsidRPr="00633CF9">
              <w:rPr>
                <w:rFonts w:ascii="Verdana" w:hAnsi="Verdana"/>
                <w:color w:val="000000" w:themeColor="text1"/>
              </w:rPr>
              <w:t xml:space="preserve"> и поступления на расчетный счет Продавца денежных средств по Договору в полном объеме</w:t>
            </w:r>
            <w:r w:rsidR="000A1317" w:rsidRPr="00633CF9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E9E80EF" w14:textId="730004A7" w:rsidR="00163C1A" w:rsidRPr="008509DF" w:rsidDel="007917EE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</w:p>
          <w:p w14:paraId="3A36E29C" w14:textId="7084D8E8" w:rsidR="00C55B7E" w:rsidRPr="008509DF" w:rsidRDefault="001B1B44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="00C55B7E"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653DA899" w:rsidR="000A1317" w:rsidRPr="008509DF" w:rsidRDefault="0041216F" w:rsidP="003A210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единовременной оплате в течение 10 дней с даты подписания ДКП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7CDB161D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1B57023B" w14:textId="2450B2A4" w:rsidR="00A3380C" w:rsidRDefault="00A3380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6E20C2E" w14:textId="77777777" w:rsidR="00984A3C" w:rsidRDefault="00984A3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67966407" w14:textId="5F5357AA" w:rsidR="00167E08" w:rsidRPr="00A3380C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52CFED0A" w14:textId="77777777" w:rsidR="001C25D8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1 </w:t>
            </w:r>
          </w:p>
          <w:p w14:paraId="4F1D08FA" w14:textId="77777777" w:rsidR="001C25D8" w:rsidRDefault="001C25D8" w:rsidP="001C25D8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Прямые расчеты: </w:t>
            </w:r>
          </w:p>
          <w:p w14:paraId="0DF5A32A" w14:textId="239F9218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F2A672C" w14:textId="3AD9C618" w:rsidR="001C25D8" w:rsidRPr="00A82FA8" w:rsidRDefault="00D45A65" w:rsidP="00A82F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82F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>
              <w:rPr>
                <w:sz w:val="20"/>
                <w:szCs w:val="20"/>
              </w:rPr>
              <w:t xml:space="preserve"> </w:t>
            </w:r>
          </w:p>
          <w:p w14:paraId="40E6B7F2" w14:textId="114FE2D9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11E05EFC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="00633CF9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с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8978D9E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920ABB6" w14:textId="78AA2F5B" w:rsidR="00961052" w:rsidRPr="00961052" w:rsidRDefault="0096105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4.2.7.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5D3E307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0D1FDE8E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двадцати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54734FF5" w:rsidR="00167E08" w:rsidRPr="008076AD" w:rsidRDefault="00167E08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двадцати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AC3B4C" w14:textId="77777777" w:rsidR="00633CF9" w:rsidRDefault="00633C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0721AEC0" w:rsidR="000D5385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239BB37" w14:textId="15B88203" w:rsidR="00C335A9" w:rsidRDefault="00C335A9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605C98" w14:textId="77777777" w:rsidR="00C335A9" w:rsidRPr="008509DF" w:rsidRDefault="00C335A9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64DF18A8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 w:rsidR="00F008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/не продлен </w:t>
            </w:r>
            <w:r w:rsidR="00F00823"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номинальный счет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F18807F" w14:textId="20EF500C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</w:p>
    <w:p w14:paraId="057ED36C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10FD6B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87C25D1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986661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D982CED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A3064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89A39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EB1AF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BBFE54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6711C4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EE56D4F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CA9EBD3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E995CB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F9AAAC0" w14:textId="77777777" w:rsidR="00DD73EC" w:rsidRDefault="00DD73EC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56003" w14:textId="2C854451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487FC6F2" w14:textId="34C50408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F00A56E" w14:textId="3DAA4758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4E7B009" w14:textId="77777777" w:rsidR="009217B1" w:rsidRDefault="00DD5861" w:rsidP="008E09A0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0FBF0A2" w14:textId="77777777" w:rsidR="00DD73EC" w:rsidRPr="00D223C3" w:rsidRDefault="00DD73EC" w:rsidP="00DD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>1.1.1.</w:t>
      </w: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686.9 кв. м. расположенное по адресу: Свердловская область, г. Екатеринбург, ул. Генеральская, д. 3, кадастровый номер: 66:41:0704007:5333, этаж 1;</w:t>
      </w:r>
    </w:p>
    <w:p w14:paraId="5C4B3258" w14:textId="77777777" w:rsidR="00DD73EC" w:rsidRPr="00D223C3" w:rsidRDefault="00DD73EC" w:rsidP="00DD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>1.1.2.</w:t>
      </w: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20.6 кв. м. расположенное по адресу: Свердловская область, г. Екатеринбург, ул. Генеральская, д. 3, кадастровый номер: 66:41:0704007:5334, этаж 1;</w:t>
      </w:r>
    </w:p>
    <w:p w14:paraId="4BD73C5A" w14:textId="77777777" w:rsidR="00DD73EC" w:rsidRPr="00D223C3" w:rsidRDefault="00DD73EC" w:rsidP="00DD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>1.1.3.</w:t>
      </w: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126.2 кв. м. расположенное по адресу: Свердловская область, г. Екатеринбург, ул. Генеральская, д. 3, кадастровый номер: 66:41:0704007:5335, этаж 1;</w:t>
      </w:r>
    </w:p>
    <w:p w14:paraId="1B331A98" w14:textId="77777777" w:rsidR="00DD73EC" w:rsidRPr="00B46028" w:rsidRDefault="00DD73EC" w:rsidP="00DD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>1.1.4.</w:t>
      </w:r>
      <w:r w:rsidRPr="00D223C3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160.3 кв. м. расположенное по адресу: Свердловская область, г. Екатеринбург, ул. Генеральская, д. 3, кадастровый номер: 66:41:0704007:5350, этаж 1;</w:t>
      </w:r>
    </w:p>
    <w:p w14:paraId="09126DA8" w14:textId="785CC572" w:rsidR="00DD5861" w:rsidRPr="008509DF" w:rsidRDefault="00DD5861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6C41F5B9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30E048A4" w14:textId="77777777" w:rsidR="00F81D67" w:rsidRDefault="00F81D67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21F6D" w:rsidRPr="008509DF" w14:paraId="457D3B04" w14:textId="77777777" w:rsidTr="00B21F6D">
        <w:tc>
          <w:tcPr>
            <w:tcW w:w="2411" w:type="dxa"/>
          </w:tcPr>
          <w:p w14:paraId="32EC793C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56AA691" w14:textId="34F3B4F6" w:rsidR="00B21F6D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</w:tcPr>
          <w:p w14:paraId="42B43B56" w14:textId="1007102F" w:rsidR="00B21F6D" w:rsidRPr="00B31BD9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B21F6D" w:rsidRPr="008509DF" w14:paraId="0636D1EC" w14:textId="77777777" w:rsidTr="00B21F6D">
        <w:tc>
          <w:tcPr>
            <w:tcW w:w="2411" w:type="dxa"/>
          </w:tcPr>
          <w:p w14:paraId="047203C2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A415531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</w:tcPr>
          <w:p w14:paraId="3835C290" w14:textId="7A049FA1" w:rsidR="00B21F6D" w:rsidRPr="00B31BD9" w:rsidRDefault="00B21F6D" w:rsidP="00B21F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05667F9" w14:textId="51962F0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6AF35C5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B6EA6" w14:textId="1D75C1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222D6" w14:textId="7C3C6F4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A714" w14:textId="22B6A79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78CEA" w14:textId="7F5FCE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702223" w14:textId="198D83A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0040BC" w14:textId="51A8AC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E3A4AE" w14:textId="72E2795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56BC73" w14:textId="0C941C5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10567A" w14:textId="0D80AE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BA50E" w14:textId="420A0DE2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C3670E" w14:textId="3F600B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9E7B63" w14:textId="4466A16D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4BA3AC" w14:textId="5C729E6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33D878" w14:textId="73F3D548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4A1EEB" w14:textId="28468D21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A0E429" w14:textId="7576674F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662E58" w14:textId="0FC26B48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9A572A" w14:textId="2DDACCC2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EDF9C8" w14:textId="7B339806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5C268E" w14:textId="31B64BBE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1F6373" w14:textId="106A56F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>01001, ОГРН 1027800000480, БИК 044525635, корр/счет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399E74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r w:rsidR="0010628D" w:rsidRPr="000C2791">
        <w:rPr>
          <w:rFonts w:ascii="Verdana" w:eastAsia="Calibri" w:hAnsi="Verdana" w:cs="Arial"/>
        </w:rPr>
        <w:t>исполняющий</w:t>
      </w:r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762B047D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7ECC8522" w:rsidR="00FC6345" w:rsidRPr="008509DF" w:rsidRDefault="00FC6345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Возможна запись о залоге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4BFAFF80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380D28">
        <w:rPr>
          <w:rFonts w:ascii="Verdana" w:hAnsi="Verdana"/>
        </w:rPr>
        <w:t>.</w:t>
      </w:r>
      <w:r w:rsidRPr="008509DF">
        <w:rPr>
          <w:rFonts w:ascii="Verdana" w:hAnsi="Verdana"/>
        </w:rPr>
        <w:t>.</w:t>
      </w:r>
    </w:p>
    <w:p w14:paraId="0CEAD877" w14:textId="72E3DC75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D97E5C" w14:textId="0BA36054" w:rsidR="00C42EB6" w:rsidRPr="009217B1" w:rsidRDefault="00C42EB6" w:rsidP="008A2AE1">
      <w:pPr>
        <w:pStyle w:val="a5"/>
        <w:numPr>
          <w:ilvl w:val="0"/>
          <w:numId w:val="7"/>
        </w:numPr>
        <w:jc w:val="both"/>
        <w:rPr>
          <w:rFonts w:ascii="Verdana" w:hAnsi="Verdana"/>
        </w:rPr>
      </w:pPr>
      <w:r w:rsidRPr="009217B1">
        <w:rPr>
          <w:rFonts w:ascii="Verdana" w:hAnsi="Verdana"/>
        </w:rPr>
        <w:t xml:space="preserve">- </w:t>
      </w:r>
      <w:r w:rsidR="008A2AE1" w:rsidRPr="008A2AE1">
        <w:t xml:space="preserve"> </w:t>
      </w:r>
      <w:r w:rsidR="008A2AE1" w:rsidRPr="008A2AE1">
        <w:rPr>
          <w:rFonts w:ascii="Verdana" w:hAnsi="Verdana"/>
        </w:rPr>
        <w:t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  <w:p w14:paraId="1C2AC267" w14:textId="2ACC6400" w:rsidR="00686D08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1EED759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33515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5E4CF65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7ADAA5" w14:textId="53ED3875" w:rsidR="00686D08" w:rsidRPr="008509DF" w:rsidRDefault="00686D08" w:rsidP="008E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2CDA219A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47CDA3" w14:textId="7BA93B47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53FDB8" w14:textId="513240CD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CCA99" w14:textId="27487DB5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B4227" w14:textId="5519298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5B22A5" w14:textId="41017056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3F6357" w14:textId="12CDCD81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517B6B" w14:textId="7BAC4123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4BE4E9" w14:textId="62EE297C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BA680A" w14:textId="1B349FF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EA92F6" w14:textId="3D0C4E81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2C8A2D" w14:textId="0C14E7C0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0B6940" w14:textId="36B1D96F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EF3C55" w14:textId="114D92BD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03045F" w14:textId="5C1E911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1336B" w14:textId="241D4662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21D6A0" w14:textId="195C8B99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02A7FD" w14:textId="77777777" w:rsidR="00FF7DC7" w:rsidRPr="007B0C89" w:rsidRDefault="00FF7DC7" w:rsidP="00FF7DC7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Приложение №</w:t>
      </w:r>
      <w:r w:rsidRPr="007B0C89">
        <w:rPr>
          <w:rFonts w:ascii="Verdana" w:eastAsia="Calibri" w:hAnsi="Verdana" w:cs="Times New Roman"/>
          <w:sz w:val="20"/>
          <w:szCs w:val="20"/>
        </w:rPr>
        <w:t>2</w:t>
      </w:r>
    </w:p>
    <w:p w14:paraId="00F34325" w14:textId="77777777" w:rsidR="00FF7DC7" w:rsidRPr="00114B9C" w:rsidRDefault="00FF7DC7" w:rsidP="00FF7DC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14B9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F6398B2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4B9C">
        <w:rPr>
          <w:rFonts w:ascii="Verdana" w:eastAsia="Times New Roman" w:hAnsi="Verdana" w:cs="Arial"/>
          <w:sz w:val="20"/>
          <w:szCs w:val="20"/>
          <w:lang w:eastAsia="en-CA"/>
        </w:rPr>
        <w:t>от «___»_____________ 20__</w:t>
      </w:r>
    </w:p>
    <w:p w14:paraId="7AE59317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48CEF4" w14:textId="77777777" w:rsidR="00FF7DC7" w:rsidRPr="00114B9C" w:rsidRDefault="00FF7DC7" w:rsidP="00FF7DC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14B9C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ДОГОВОРОВ АРЕНДЫ/СУБАРЕНДЫ </w:t>
      </w:r>
    </w:p>
    <w:p w14:paraId="083856F6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6CD98E" w14:textId="3B025C71" w:rsidR="00FF7DC7" w:rsidRDefault="00FF7DC7" w:rsidP="00FF7DC7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114B9C">
        <w:rPr>
          <w:rFonts w:ascii="Verdana" w:eastAsia="Calibri" w:hAnsi="Verdana" w:cs="Times New Roman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p w14:paraId="36A7ADA1" w14:textId="68642990" w:rsidR="00FF7DC7" w:rsidRPr="007B0C89" w:rsidRDefault="00FF7DC7" w:rsidP="00DD73E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№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А/147-20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01.11.2019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г. с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Ананьина Ольга Владимировна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59BCC7F0" w14:textId="2E61FA62" w:rsidR="00FF7DC7" w:rsidRDefault="00FF7DC7" w:rsidP="00DD73E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А/145-20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01.08.2019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ИП Бахарева Екатерина Андреевна</w:t>
      </w:r>
      <w:r>
        <w:rPr>
          <w:rFonts w:ascii="Verdana" w:hAnsi="Verdana" w:cs="Times New Roman"/>
          <w:sz w:val="18"/>
          <w:szCs w:val="18"/>
        </w:rPr>
        <w:t>;</w:t>
      </w:r>
    </w:p>
    <w:p w14:paraId="69A97BBC" w14:textId="2E6EFD46" w:rsidR="00FF7DC7" w:rsidRDefault="00FF7DC7" w:rsidP="00DD73E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А/18-20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22.05.2020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ООО "Город" центр эстетической стоматологии"</w:t>
      </w:r>
      <w:r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58017FDB" w14:textId="1D5D3812" w:rsidR="00FF7DC7" w:rsidRDefault="00FF7DC7" w:rsidP="00DD73E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А/19-20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01.08.2019</w:t>
      </w:r>
      <w:r w:rsidR="00DD73EC"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="00DD73EC" w:rsidRPr="00DD73EC">
        <w:rPr>
          <w:rFonts w:ascii="Verdana" w:hAnsi="Verdana" w:cs="Times New Roman"/>
          <w:color w:val="000000" w:themeColor="text1"/>
          <w:sz w:val="18"/>
          <w:szCs w:val="18"/>
        </w:rPr>
        <w:t>ООО "ДИМАРТ-ЕКБ"</w:t>
      </w:r>
      <w:r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3F85BD06" w14:textId="67C29D56" w:rsidR="00FF7DC7" w:rsidRPr="00FF7DC7" w:rsidRDefault="00FF7DC7" w:rsidP="00DD73EC">
      <w:pPr>
        <w:pStyle w:val="a5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DD73EC" w:rsidRPr="00DD73EC">
        <w:rPr>
          <w:rFonts w:ascii="Verdana" w:hAnsi="Verdana"/>
          <w:sz w:val="18"/>
          <w:szCs w:val="18"/>
        </w:rPr>
        <w:t>А/133-20</w:t>
      </w:r>
      <w:r w:rsidR="00DD73EC"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 xml:space="preserve">от </w:t>
      </w:r>
      <w:r w:rsidR="00DD73EC" w:rsidRPr="00DD73EC">
        <w:rPr>
          <w:rFonts w:ascii="Verdana" w:hAnsi="Verdana"/>
          <w:sz w:val="18"/>
          <w:szCs w:val="18"/>
        </w:rPr>
        <w:t>01.10.2019</w:t>
      </w:r>
      <w:r w:rsidR="00DD73EC">
        <w:rPr>
          <w:rFonts w:ascii="Verdana" w:hAnsi="Verdana"/>
          <w:sz w:val="18"/>
          <w:szCs w:val="18"/>
        </w:rPr>
        <w:t>г</w:t>
      </w:r>
      <w:r w:rsidRPr="00FF7DC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с </w:t>
      </w:r>
      <w:r w:rsidR="00DD73EC" w:rsidRPr="00DD73EC">
        <w:rPr>
          <w:rFonts w:ascii="Verdana" w:hAnsi="Verdana"/>
          <w:sz w:val="18"/>
          <w:szCs w:val="18"/>
        </w:rPr>
        <w:t>Дитлер Вячеслав Вениаминович</w:t>
      </w:r>
      <w:r w:rsidR="00115E75">
        <w:rPr>
          <w:rFonts w:ascii="Verdana" w:hAnsi="Verdana"/>
          <w:sz w:val="18"/>
          <w:szCs w:val="18"/>
        </w:rPr>
        <w:t>;</w:t>
      </w:r>
    </w:p>
    <w:p w14:paraId="46CD2E19" w14:textId="7A135FF3" w:rsidR="00FF7DC7" w:rsidRPr="00FF7DC7" w:rsidRDefault="00FF7DC7" w:rsidP="00115E75">
      <w:pPr>
        <w:pStyle w:val="a5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А/84-20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 xml:space="preserve">от </w:t>
      </w:r>
      <w:r w:rsidR="00115E75" w:rsidRPr="00115E75">
        <w:rPr>
          <w:rFonts w:ascii="Verdana" w:hAnsi="Verdana"/>
          <w:sz w:val="18"/>
          <w:szCs w:val="18"/>
        </w:rPr>
        <w:t>01.09.2019</w:t>
      </w:r>
      <w:r w:rsidR="00115E75">
        <w:rPr>
          <w:rFonts w:ascii="Verdana" w:hAnsi="Verdana"/>
          <w:sz w:val="18"/>
          <w:szCs w:val="18"/>
        </w:rPr>
        <w:t>г</w:t>
      </w:r>
      <w:r w:rsidRPr="00FF7DC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с </w:t>
      </w:r>
      <w:r w:rsidR="00115E75" w:rsidRPr="00115E75">
        <w:rPr>
          <w:rFonts w:ascii="Verdana" w:hAnsi="Verdana"/>
          <w:sz w:val="18"/>
          <w:szCs w:val="18"/>
        </w:rPr>
        <w:t>ООО "ДОРСПЕЦСТРОЙ"</w:t>
      </w:r>
      <w:r w:rsidR="00115E75">
        <w:rPr>
          <w:rFonts w:ascii="Verdana" w:hAnsi="Verdana"/>
          <w:sz w:val="18"/>
          <w:szCs w:val="18"/>
        </w:rPr>
        <w:t>;</w:t>
      </w:r>
    </w:p>
    <w:p w14:paraId="1924B5A2" w14:textId="7C1D4C82" w:rsidR="00FF7DC7" w:rsidRPr="00FF7DC7" w:rsidRDefault="00FF7DC7" w:rsidP="00115E75">
      <w:pPr>
        <w:pStyle w:val="a5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А/106-20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 xml:space="preserve">от </w:t>
      </w:r>
      <w:r w:rsidR="00115E75" w:rsidRPr="00115E75">
        <w:rPr>
          <w:rFonts w:ascii="Verdana" w:hAnsi="Verdana"/>
          <w:sz w:val="18"/>
          <w:szCs w:val="18"/>
        </w:rPr>
        <w:t>01.12.2019</w:t>
      </w:r>
      <w:r>
        <w:rPr>
          <w:rFonts w:ascii="Verdana" w:hAnsi="Verdana"/>
          <w:sz w:val="18"/>
          <w:szCs w:val="18"/>
        </w:rPr>
        <w:t>г</w:t>
      </w:r>
      <w:r w:rsidRPr="00FF7DC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с </w:t>
      </w:r>
      <w:r w:rsidR="00115E75" w:rsidRPr="00115E75">
        <w:rPr>
          <w:rFonts w:ascii="Verdana" w:hAnsi="Verdana"/>
          <w:sz w:val="18"/>
          <w:szCs w:val="18"/>
        </w:rPr>
        <w:t>Кашина Анастасия Вадимовна</w:t>
      </w:r>
      <w:r w:rsidRPr="00FF7DC7">
        <w:rPr>
          <w:rFonts w:ascii="Verdana" w:hAnsi="Verdana"/>
          <w:sz w:val="18"/>
          <w:szCs w:val="18"/>
        </w:rPr>
        <w:t>;</w:t>
      </w:r>
    </w:p>
    <w:p w14:paraId="5F2A9013" w14:textId="6601D798" w:rsidR="00FF7DC7" w:rsidRPr="00FF7DC7" w:rsidRDefault="00FF7DC7" w:rsidP="00115E75">
      <w:pPr>
        <w:pStyle w:val="a5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А/42-20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 xml:space="preserve">от </w:t>
      </w:r>
      <w:r w:rsidR="00115E75" w:rsidRPr="00115E75">
        <w:rPr>
          <w:rFonts w:ascii="Verdana" w:hAnsi="Verdana"/>
          <w:sz w:val="18"/>
          <w:szCs w:val="18"/>
        </w:rPr>
        <w:t>01.11.2019</w:t>
      </w:r>
      <w:r w:rsidR="00115E75">
        <w:rPr>
          <w:rFonts w:ascii="Verdana" w:hAnsi="Verdana"/>
          <w:sz w:val="18"/>
          <w:szCs w:val="18"/>
        </w:rPr>
        <w:t>г</w:t>
      </w:r>
      <w:r w:rsidR="00450BFA">
        <w:rPr>
          <w:rFonts w:ascii="Verdana" w:hAnsi="Verdana"/>
          <w:sz w:val="18"/>
          <w:szCs w:val="18"/>
        </w:rPr>
        <w:t>. с</w:t>
      </w:r>
      <w:r w:rsidR="00115E75">
        <w:rPr>
          <w:rFonts w:ascii="Verdana" w:hAnsi="Verdana"/>
          <w:sz w:val="18"/>
          <w:szCs w:val="18"/>
        </w:rPr>
        <w:t xml:space="preserve"> </w:t>
      </w:r>
      <w:r w:rsidR="00115E75" w:rsidRPr="00115E75">
        <w:rPr>
          <w:rFonts w:ascii="Verdana" w:hAnsi="Verdana"/>
          <w:sz w:val="18"/>
          <w:szCs w:val="18"/>
        </w:rPr>
        <w:t>ООО "Контроль  Про"</w:t>
      </w:r>
      <w:r w:rsidR="00115E75">
        <w:rPr>
          <w:rFonts w:ascii="Verdana" w:hAnsi="Verdana"/>
          <w:sz w:val="18"/>
          <w:szCs w:val="18"/>
        </w:rPr>
        <w:t>;</w:t>
      </w:r>
    </w:p>
    <w:p w14:paraId="08162590" w14:textId="4F5EBEE6" w:rsidR="00FF7DC7" w:rsidRDefault="00450BFA" w:rsidP="00115E75">
      <w:pPr>
        <w:pStyle w:val="a5"/>
        <w:numPr>
          <w:ilvl w:val="0"/>
          <w:numId w:val="36"/>
        </w:numPr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А/58-21</w:t>
      </w:r>
      <w:r w:rsidRPr="00450BFA">
        <w:rPr>
          <w:rFonts w:ascii="Verdana" w:hAnsi="Verdana"/>
          <w:sz w:val="18"/>
          <w:szCs w:val="18"/>
        </w:rPr>
        <w:t xml:space="preserve"> от </w:t>
      </w:r>
      <w:r w:rsidR="00115E75" w:rsidRPr="00115E75">
        <w:rPr>
          <w:rFonts w:ascii="Verdana" w:hAnsi="Verdana"/>
          <w:sz w:val="18"/>
          <w:szCs w:val="18"/>
        </w:rPr>
        <w:t>25.08.2020</w:t>
      </w:r>
      <w:r w:rsidR="00115E75"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 xml:space="preserve">. с </w:t>
      </w:r>
      <w:r w:rsidR="00115E75" w:rsidRPr="00115E75">
        <w:rPr>
          <w:rFonts w:ascii="Verdana" w:hAnsi="Verdana"/>
          <w:sz w:val="18"/>
          <w:szCs w:val="18"/>
        </w:rPr>
        <w:t>Кузнецов Андрей Андреевич</w:t>
      </w:r>
      <w:r w:rsidRPr="00450BFA">
        <w:rPr>
          <w:rFonts w:ascii="Verdana" w:hAnsi="Verdana"/>
          <w:sz w:val="18"/>
          <w:szCs w:val="18"/>
        </w:rPr>
        <w:t>;</w:t>
      </w:r>
    </w:p>
    <w:p w14:paraId="153635A8" w14:textId="2C743694" w:rsidR="00450BFA" w:rsidRDefault="00450BFA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А/06-20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450BFA">
        <w:rPr>
          <w:rFonts w:ascii="Verdana" w:hAnsi="Verdana"/>
          <w:sz w:val="18"/>
          <w:szCs w:val="18"/>
        </w:rPr>
        <w:t xml:space="preserve">от </w:t>
      </w:r>
      <w:r w:rsidR="00115E75" w:rsidRPr="00115E75">
        <w:rPr>
          <w:rFonts w:ascii="Verdana" w:hAnsi="Verdana"/>
          <w:sz w:val="18"/>
          <w:szCs w:val="18"/>
        </w:rPr>
        <w:t>01.04.2020</w:t>
      </w:r>
      <w:r w:rsidR="00115E75"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 xml:space="preserve">. с </w:t>
      </w:r>
      <w:r w:rsidR="00115E75">
        <w:rPr>
          <w:rFonts w:ascii="Verdana" w:hAnsi="Verdana"/>
          <w:sz w:val="18"/>
          <w:szCs w:val="18"/>
        </w:rPr>
        <w:t>ООО "ПРЕСТИЖ</w:t>
      </w:r>
      <w:r w:rsidRPr="00450BFA">
        <w:rPr>
          <w:rFonts w:ascii="Verdana" w:hAnsi="Verdana"/>
          <w:sz w:val="18"/>
          <w:szCs w:val="18"/>
        </w:rPr>
        <w:t>";</w:t>
      </w:r>
    </w:p>
    <w:p w14:paraId="21035CE9" w14:textId="5CB269AB" w:rsidR="00450BFA" w:rsidRDefault="00450BFA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А/100-2-20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450BFA">
        <w:rPr>
          <w:rFonts w:ascii="Verdana" w:hAnsi="Verdana"/>
          <w:sz w:val="18"/>
          <w:szCs w:val="18"/>
        </w:rPr>
        <w:t xml:space="preserve">от </w:t>
      </w:r>
      <w:r w:rsidR="00115E75" w:rsidRPr="00115E75">
        <w:rPr>
          <w:rFonts w:ascii="Verdana" w:hAnsi="Verdana"/>
          <w:sz w:val="18"/>
          <w:szCs w:val="18"/>
        </w:rPr>
        <w:t>15.07.2019</w:t>
      </w:r>
      <w:r w:rsidR="00115E75"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 xml:space="preserve">. с </w:t>
      </w:r>
      <w:r w:rsidR="00115E75">
        <w:rPr>
          <w:rFonts w:ascii="Verdana" w:hAnsi="Verdana"/>
          <w:sz w:val="18"/>
          <w:szCs w:val="18"/>
        </w:rPr>
        <w:t>ООО "ПРОМТЕХПРОЕКТ</w:t>
      </w:r>
      <w:r w:rsidRPr="00450BFA">
        <w:rPr>
          <w:rFonts w:ascii="Verdana" w:hAnsi="Verdana"/>
          <w:sz w:val="18"/>
          <w:szCs w:val="18"/>
        </w:rPr>
        <w:t>";</w:t>
      </w:r>
    </w:p>
    <w:p w14:paraId="53977FF0" w14:textId="26D29D41" w:rsidR="00115E75" w:rsidRDefault="00450BFA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А/130-20 от</w:t>
      </w:r>
      <w:r w:rsidRPr="00115E75">
        <w:rPr>
          <w:rFonts w:ascii="Verdana" w:hAnsi="Verdana"/>
          <w:sz w:val="18"/>
          <w:szCs w:val="18"/>
        </w:rPr>
        <w:t xml:space="preserve"> </w:t>
      </w:r>
      <w:r w:rsidR="00115E75" w:rsidRPr="00115E75">
        <w:rPr>
          <w:rFonts w:ascii="Verdana" w:hAnsi="Verdana"/>
          <w:sz w:val="18"/>
          <w:szCs w:val="18"/>
        </w:rPr>
        <w:t>01.02.2020</w:t>
      </w:r>
      <w:r w:rsidRPr="00115E75">
        <w:rPr>
          <w:rFonts w:ascii="Verdana" w:hAnsi="Verdana"/>
          <w:sz w:val="18"/>
          <w:szCs w:val="18"/>
        </w:rPr>
        <w:t xml:space="preserve">г. с </w:t>
      </w:r>
      <w:r w:rsidR="00115E75" w:rsidRPr="00115E75">
        <w:rPr>
          <w:rFonts w:ascii="Verdana" w:hAnsi="Verdana"/>
          <w:sz w:val="18"/>
          <w:szCs w:val="18"/>
        </w:rPr>
        <w:t>ООО</w:t>
      </w:r>
      <w:r w:rsidR="00115E75">
        <w:rPr>
          <w:rFonts w:ascii="Verdana" w:hAnsi="Verdana"/>
          <w:sz w:val="18"/>
          <w:szCs w:val="18"/>
        </w:rPr>
        <w:t xml:space="preserve"> </w:t>
      </w:r>
      <w:r w:rsidR="00115E75" w:rsidRPr="00115E75">
        <w:rPr>
          <w:rFonts w:ascii="Verdana" w:hAnsi="Verdana"/>
          <w:sz w:val="18"/>
          <w:szCs w:val="18"/>
        </w:rPr>
        <w:t>"УралИнвест"</w:t>
      </w:r>
      <w:r w:rsidR="00115E75">
        <w:rPr>
          <w:rFonts w:ascii="Verdana" w:hAnsi="Verdana"/>
          <w:sz w:val="18"/>
          <w:szCs w:val="18"/>
        </w:rPr>
        <w:t>;</w:t>
      </w:r>
    </w:p>
    <w:p w14:paraId="30EE3ED7" w14:textId="1BC2542D" w:rsidR="00450BFA" w:rsidRDefault="00450BFA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115E75" w:rsidRPr="00115E75">
        <w:rPr>
          <w:rFonts w:ascii="Verdana" w:hAnsi="Verdana"/>
          <w:sz w:val="18"/>
          <w:szCs w:val="18"/>
        </w:rPr>
        <w:t>А/88-20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 xml:space="preserve">от </w:t>
      </w:r>
      <w:r w:rsidR="00115E75" w:rsidRPr="00115E75">
        <w:rPr>
          <w:rFonts w:ascii="Verdana" w:hAnsi="Verdana"/>
          <w:sz w:val="18"/>
          <w:szCs w:val="18"/>
        </w:rPr>
        <w:t>01.01.2020</w:t>
      </w:r>
      <w:r w:rsidR="00115E75"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 xml:space="preserve">г. с </w:t>
      </w:r>
      <w:r w:rsidR="00115E75" w:rsidRPr="00115E75">
        <w:rPr>
          <w:rFonts w:ascii="Verdana" w:hAnsi="Verdana"/>
          <w:sz w:val="18"/>
          <w:szCs w:val="18"/>
        </w:rPr>
        <w:t>ООО "ФОРИНТЕК-УРАЛ"</w:t>
      </w:r>
      <w:r w:rsidRPr="00115E75">
        <w:rPr>
          <w:rFonts w:ascii="Verdana" w:hAnsi="Verdana"/>
          <w:sz w:val="18"/>
          <w:szCs w:val="18"/>
        </w:rPr>
        <w:t>;</w:t>
      </w:r>
    </w:p>
    <w:p w14:paraId="03F2810F" w14:textId="08DBEEAB" w:rsidR="00115E75" w:rsidRDefault="00115E75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>Договор аренды нежилых помещений № А/</w:t>
      </w:r>
      <w:r>
        <w:rPr>
          <w:rFonts w:ascii="Verdana" w:hAnsi="Verdana"/>
          <w:sz w:val="18"/>
          <w:szCs w:val="18"/>
        </w:rPr>
        <w:t xml:space="preserve">37-19 </w:t>
      </w:r>
      <w:r w:rsidRPr="00115E75">
        <w:rPr>
          <w:rFonts w:ascii="Verdana" w:hAnsi="Verdana"/>
          <w:sz w:val="18"/>
          <w:szCs w:val="18"/>
        </w:rPr>
        <w:t xml:space="preserve">от </w:t>
      </w:r>
      <w:r>
        <w:rPr>
          <w:rFonts w:ascii="Verdana" w:hAnsi="Verdana"/>
          <w:sz w:val="18"/>
          <w:szCs w:val="18"/>
        </w:rPr>
        <w:t>01</w:t>
      </w:r>
      <w:r w:rsidRPr="00115E7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05</w:t>
      </w:r>
      <w:r w:rsidRPr="00115E75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2018 </w:t>
      </w:r>
      <w:r w:rsidRPr="00115E75">
        <w:rPr>
          <w:rFonts w:ascii="Verdana" w:hAnsi="Verdana"/>
          <w:sz w:val="18"/>
          <w:szCs w:val="18"/>
        </w:rPr>
        <w:t xml:space="preserve">г. с </w:t>
      </w:r>
      <w:r>
        <w:rPr>
          <w:rFonts w:ascii="Verdana" w:hAnsi="Verdana"/>
          <w:sz w:val="18"/>
          <w:szCs w:val="18"/>
        </w:rPr>
        <w:t>ИП Язева Олеся Васильевна</w:t>
      </w:r>
      <w:r w:rsidRPr="00115E75">
        <w:rPr>
          <w:rFonts w:ascii="Verdana" w:hAnsi="Verdana"/>
          <w:sz w:val="18"/>
          <w:szCs w:val="18"/>
        </w:rPr>
        <w:t>";</w:t>
      </w:r>
    </w:p>
    <w:p w14:paraId="132205A2" w14:textId="4C0DC280" w:rsidR="00115E75" w:rsidRDefault="00115E75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>Договор аренды нежилых помещений № А/33-20</w:t>
      </w:r>
      <w:r>
        <w:rPr>
          <w:rFonts w:ascii="Verdana" w:hAnsi="Verdana"/>
          <w:sz w:val="18"/>
          <w:szCs w:val="18"/>
        </w:rPr>
        <w:t xml:space="preserve"> </w:t>
      </w:r>
      <w:r w:rsidRPr="00115E75">
        <w:rPr>
          <w:rFonts w:ascii="Verdana" w:hAnsi="Verdana"/>
          <w:sz w:val="18"/>
          <w:szCs w:val="18"/>
        </w:rPr>
        <w:t>от 01.04.2020</w:t>
      </w:r>
      <w:r>
        <w:rPr>
          <w:rFonts w:ascii="Verdana" w:hAnsi="Verdana"/>
          <w:sz w:val="18"/>
          <w:szCs w:val="18"/>
        </w:rPr>
        <w:t xml:space="preserve">г. </w:t>
      </w:r>
      <w:r w:rsidRPr="00115E75">
        <w:rPr>
          <w:rFonts w:ascii="Verdana" w:hAnsi="Verdana"/>
          <w:sz w:val="18"/>
          <w:szCs w:val="18"/>
        </w:rPr>
        <w:t xml:space="preserve">г. с </w:t>
      </w:r>
      <w:r>
        <w:rPr>
          <w:rFonts w:ascii="Verdana" w:hAnsi="Verdana"/>
          <w:sz w:val="18"/>
          <w:szCs w:val="18"/>
        </w:rPr>
        <w:t>ИП Язева Олеся Васильевна</w:t>
      </w:r>
      <w:r w:rsidRPr="00115E75">
        <w:rPr>
          <w:rFonts w:ascii="Verdana" w:hAnsi="Verdana"/>
          <w:sz w:val="18"/>
          <w:szCs w:val="18"/>
        </w:rPr>
        <w:t>";</w:t>
      </w:r>
    </w:p>
    <w:p w14:paraId="785FD26F" w14:textId="6B9C9189" w:rsidR="00115E75" w:rsidRDefault="00115E75" w:rsidP="0067521A">
      <w:pPr>
        <w:pStyle w:val="a5"/>
        <w:numPr>
          <w:ilvl w:val="0"/>
          <w:numId w:val="36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115E75">
        <w:rPr>
          <w:rFonts w:ascii="Verdana" w:hAnsi="Verdana"/>
          <w:sz w:val="18"/>
          <w:szCs w:val="18"/>
        </w:rPr>
        <w:t>Договор аренды нежилых помещений № А/</w:t>
      </w:r>
      <w:r>
        <w:rPr>
          <w:rFonts w:ascii="Verdana" w:hAnsi="Verdana"/>
          <w:sz w:val="18"/>
          <w:szCs w:val="18"/>
        </w:rPr>
        <w:t xml:space="preserve">34-20 </w:t>
      </w:r>
      <w:r w:rsidRPr="00115E75">
        <w:rPr>
          <w:rFonts w:ascii="Verdana" w:hAnsi="Verdana"/>
          <w:sz w:val="18"/>
          <w:szCs w:val="18"/>
        </w:rPr>
        <w:t xml:space="preserve">от </w:t>
      </w:r>
      <w:r>
        <w:rPr>
          <w:rFonts w:ascii="Verdana" w:hAnsi="Verdana"/>
          <w:sz w:val="18"/>
          <w:szCs w:val="18"/>
        </w:rPr>
        <w:t xml:space="preserve">01.04.2020г. </w:t>
      </w:r>
      <w:r w:rsidRPr="00115E75">
        <w:rPr>
          <w:rFonts w:ascii="Verdana" w:hAnsi="Verdana"/>
          <w:sz w:val="18"/>
          <w:szCs w:val="18"/>
        </w:rPr>
        <w:t xml:space="preserve">г. с </w:t>
      </w:r>
      <w:r>
        <w:rPr>
          <w:rFonts w:ascii="Verdana" w:hAnsi="Verdana"/>
          <w:sz w:val="18"/>
          <w:szCs w:val="18"/>
        </w:rPr>
        <w:t>ИП Язева Олеся Васильевна</w:t>
      </w:r>
      <w:r w:rsidR="00AF0126">
        <w:rPr>
          <w:rFonts w:ascii="Verdana" w:hAnsi="Verdana"/>
          <w:sz w:val="18"/>
          <w:szCs w:val="18"/>
        </w:rPr>
        <w:t>".</w:t>
      </w:r>
    </w:p>
    <w:p w14:paraId="03552942" w14:textId="617053D0" w:rsidR="00FF7DC7" w:rsidRPr="00450BFA" w:rsidRDefault="00FF7DC7" w:rsidP="00450BF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sz w:val="18"/>
          <w:szCs w:val="18"/>
        </w:rPr>
      </w:pPr>
    </w:p>
    <w:p w14:paraId="34D9A81C" w14:textId="76644701" w:rsidR="00FF7DC7" w:rsidRPr="00114B9C" w:rsidRDefault="00FF7DC7" w:rsidP="00FF7DC7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1D131763" w14:textId="77777777" w:rsidR="00FF7DC7" w:rsidRPr="001F1EB7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ПОДПИСИ СТОРОН </w:t>
      </w:r>
    </w:p>
    <w:p w14:paraId="0074E2F2" w14:textId="556A8331" w:rsidR="00FF7DC7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237CC29" w14:textId="5406A3FE" w:rsidR="00C335A9" w:rsidRDefault="00C335A9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DCE2E27" w14:textId="77777777" w:rsidR="00C335A9" w:rsidRPr="001F1EB7" w:rsidRDefault="00C335A9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F331750" w14:textId="77777777" w:rsidR="00FF7DC7" w:rsidRPr="00114B9C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</w:p>
    <w:p w14:paraId="0E643EA2" w14:textId="3840A4C6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FE0743" w14:textId="2B2A990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D9562" w14:textId="76B93F4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BE987C" w14:textId="7FA72DA0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8E5B45" w14:textId="667D9BC2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CD5995" w14:textId="144B3BB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EB5EC" w14:textId="01B291D3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910A25" w14:textId="4FFD907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9D1BCC" w14:textId="77777777" w:rsidR="00FF7DC7" w:rsidRPr="0005653D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FF7DC7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2B9B" w14:textId="77777777" w:rsidR="00960C48" w:rsidRDefault="00960C48" w:rsidP="00E33D4F">
      <w:pPr>
        <w:spacing w:after="0" w:line="240" w:lineRule="auto"/>
      </w:pPr>
      <w:r>
        <w:separator/>
      </w:r>
    </w:p>
  </w:endnote>
  <w:endnote w:type="continuationSeparator" w:id="0">
    <w:p w14:paraId="68E808EC" w14:textId="77777777" w:rsidR="00960C48" w:rsidRDefault="00960C4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4843609" w:rsidR="00A3380C" w:rsidRDefault="00A338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63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A3380C" w:rsidRDefault="00A338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7725" w14:textId="77777777" w:rsidR="00960C48" w:rsidRDefault="00960C48" w:rsidP="00E33D4F">
      <w:pPr>
        <w:spacing w:after="0" w:line="240" w:lineRule="auto"/>
      </w:pPr>
      <w:r>
        <w:separator/>
      </w:r>
    </w:p>
  </w:footnote>
  <w:footnote w:type="continuationSeparator" w:id="0">
    <w:p w14:paraId="2E70B285" w14:textId="77777777" w:rsidR="00960C48" w:rsidRDefault="00960C48" w:rsidP="00E33D4F">
      <w:pPr>
        <w:spacing w:after="0" w:line="240" w:lineRule="auto"/>
      </w:pPr>
      <w:r>
        <w:continuationSeparator/>
      </w:r>
    </w:p>
  </w:footnote>
  <w:footnote w:id="1">
    <w:p w14:paraId="20799152" w14:textId="77777777" w:rsidR="008B4F47" w:rsidRDefault="008B4F47" w:rsidP="008B4F47">
      <w:pPr>
        <w:pStyle w:val="af2"/>
        <w:jc w:val="both"/>
      </w:pPr>
      <w:r>
        <w:rPr>
          <w:rStyle w:val="af4"/>
        </w:rPr>
        <w:footnoteRef/>
      </w:r>
      <w:r>
        <w:t xml:space="preserve"> При наличии иных обременений, кроме аренды, например, сервитуты, объекты культурного наследия и т.п., их перечень приводится в указанном пункте 1.5 в варианте 2 наряду с арендой, либо выносится в отдельное приложение к ДКП</w:t>
      </w:r>
    </w:p>
  </w:footnote>
  <w:footnote w:id="2">
    <w:p w14:paraId="12A18515" w14:textId="5CFCEC65" w:rsidR="00A3380C" w:rsidRPr="00120657" w:rsidRDefault="00A3380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3">
    <w:p w14:paraId="3E891BE5" w14:textId="09F331F7" w:rsidR="00A3380C" w:rsidRPr="00120657" w:rsidRDefault="00A3380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4">
    <w:p w14:paraId="1EE93F55" w14:textId="153BE51A" w:rsidR="00A3380C" w:rsidRPr="00D03FB6" w:rsidRDefault="00A3380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3380C" w:rsidRPr="00D03FB6" w:rsidRDefault="00A3380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6FBCD112" w14:textId="589331F3" w:rsidR="00A3380C" w:rsidRPr="008070A5" w:rsidRDefault="00A3380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5896885"/>
    <w:multiLevelType w:val="hybridMultilevel"/>
    <w:tmpl w:val="FF70F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591EE1"/>
    <w:multiLevelType w:val="hybridMultilevel"/>
    <w:tmpl w:val="9D2E6A08"/>
    <w:lvl w:ilvl="0" w:tplc="2E641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A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60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4A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8B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AE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8A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EA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CB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4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8578B"/>
    <w:rsid w:val="000927FB"/>
    <w:rsid w:val="00093EDB"/>
    <w:rsid w:val="00095F3C"/>
    <w:rsid w:val="00096522"/>
    <w:rsid w:val="000967E9"/>
    <w:rsid w:val="000973B7"/>
    <w:rsid w:val="00097EC7"/>
    <w:rsid w:val="000A0B3B"/>
    <w:rsid w:val="000A1317"/>
    <w:rsid w:val="000A3E4C"/>
    <w:rsid w:val="000B30CD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096A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6E2D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28D"/>
    <w:rsid w:val="00106775"/>
    <w:rsid w:val="001102D9"/>
    <w:rsid w:val="00111061"/>
    <w:rsid w:val="00114EF9"/>
    <w:rsid w:val="00115E75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D1EAB"/>
    <w:rsid w:val="001D2504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68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3721"/>
    <w:rsid w:val="002A52CC"/>
    <w:rsid w:val="002A564F"/>
    <w:rsid w:val="002B3119"/>
    <w:rsid w:val="002B3801"/>
    <w:rsid w:val="002B527E"/>
    <w:rsid w:val="002B5442"/>
    <w:rsid w:val="002B55DC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80D28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2102"/>
    <w:rsid w:val="003A36C1"/>
    <w:rsid w:val="003A3708"/>
    <w:rsid w:val="003B025F"/>
    <w:rsid w:val="003B1809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A63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8AE"/>
    <w:rsid w:val="00410A63"/>
    <w:rsid w:val="0041216F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6B81"/>
    <w:rsid w:val="004271B3"/>
    <w:rsid w:val="004305AA"/>
    <w:rsid w:val="00433FB9"/>
    <w:rsid w:val="00434C82"/>
    <w:rsid w:val="00441B3B"/>
    <w:rsid w:val="00441C95"/>
    <w:rsid w:val="00444442"/>
    <w:rsid w:val="0044564A"/>
    <w:rsid w:val="00446BFD"/>
    <w:rsid w:val="0044731D"/>
    <w:rsid w:val="00450B06"/>
    <w:rsid w:val="00450B9C"/>
    <w:rsid w:val="00450BFA"/>
    <w:rsid w:val="00451A57"/>
    <w:rsid w:val="00455D2A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37D1"/>
    <w:rsid w:val="0052609C"/>
    <w:rsid w:val="00526430"/>
    <w:rsid w:val="0052694F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6AFB"/>
    <w:rsid w:val="005A6E03"/>
    <w:rsid w:val="005A7DCA"/>
    <w:rsid w:val="005B5DF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3C5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3CF9"/>
    <w:rsid w:val="00634B19"/>
    <w:rsid w:val="00641589"/>
    <w:rsid w:val="00645BF6"/>
    <w:rsid w:val="00646D39"/>
    <w:rsid w:val="00652999"/>
    <w:rsid w:val="00652F0C"/>
    <w:rsid w:val="00656D58"/>
    <w:rsid w:val="00664D32"/>
    <w:rsid w:val="00664EEA"/>
    <w:rsid w:val="006663D9"/>
    <w:rsid w:val="00667932"/>
    <w:rsid w:val="00670A2E"/>
    <w:rsid w:val="00670FB8"/>
    <w:rsid w:val="00671E66"/>
    <w:rsid w:val="00672CCD"/>
    <w:rsid w:val="00673FF9"/>
    <w:rsid w:val="0067521A"/>
    <w:rsid w:val="00677F61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6F77DF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A93"/>
    <w:rsid w:val="00737CDB"/>
    <w:rsid w:val="007411C4"/>
    <w:rsid w:val="00744645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228"/>
    <w:rsid w:val="007704CD"/>
    <w:rsid w:val="00773D72"/>
    <w:rsid w:val="00775AF0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07D8C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2881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AE1"/>
    <w:rsid w:val="008A3170"/>
    <w:rsid w:val="008A6980"/>
    <w:rsid w:val="008A797C"/>
    <w:rsid w:val="008B4F47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C48"/>
    <w:rsid w:val="00961052"/>
    <w:rsid w:val="00966EC8"/>
    <w:rsid w:val="009710BF"/>
    <w:rsid w:val="00971213"/>
    <w:rsid w:val="00972583"/>
    <w:rsid w:val="009726BD"/>
    <w:rsid w:val="009745F9"/>
    <w:rsid w:val="009821B9"/>
    <w:rsid w:val="00982ED3"/>
    <w:rsid w:val="009838DA"/>
    <w:rsid w:val="00984A3C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C6B"/>
    <w:rsid w:val="00A246BE"/>
    <w:rsid w:val="00A24C91"/>
    <w:rsid w:val="00A2545D"/>
    <w:rsid w:val="00A30CA0"/>
    <w:rsid w:val="00A324A2"/>
    <w:rsid w:val="00A3380C"/>
    <w:rsid w:val="00A351D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4C1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26"/>
    <w:rsid w:val="00AF0199"/>
    <w:rsid w:val="00AF269E"/>
    <w:rsid w:val="00AF5974"/>
    <w:rsid w:val="00B012C3"/>
    <w:rsid w:val="00B01E0E"/>
    <w:rsid w:val="00B03BF7"/>
    <w:rsid w:val="00B04710"/>
    <w:rsid w:val="00B0523F"/>
    <w:rsid w:val="00B0731A"/>
    <w:rsid w:val="00B12FEC"/>
    <w:rsid w:val="00B13C17"/>
    <w:rsid w:val="00B14042"/>
    <w:rsid w:val="00B14DED"/>
    <w:rsid w:val="00B1538F"/>
    <w:rsid w:val="00B15C81"/>
    <w:rsid w:val="00B17901"/>
    <w:rsid w:val="00B203E8"/>
    <w:rsid w:val="00B21F6D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2B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27328"/>
    <w:rsid w:val="00C335A9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0CB0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6C5F"/>
    <w:rsid w:val="00CD0BC6"/>
    <w:rsid w:val="00CD3381"/>
    <w:rsid w:val="00CD4399"/>
    <w:rsid w:val="00CD57AA"/>
    <w:rsid w:val="00CD5D0E"/>
    <w:rsid w:val="00CE08C4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2EE5"/>
    <w:rsid w:val="00DA5B8B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3E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113A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2B59"/>
    <w:rsid w:val="00F165CE"/>
    <w:rsid w:val="00F16A60"/>
    <w:rsid w:val="00F172A9"/>
    <w:rsid w:val="00F1789F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5D48"/>
    <w:rsid w:val="00F47A86"/>
    <w:rsid w:val="00F50121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0A58"/>
    <w:rsid w:val="00FC150E"/>
    <w:rsid w:val="00FC1D8A"/>
    <w:rsid w:val="00FC39B8"/>
    <w:rsid w:val="00FC423A"/>
    <w:rsid w:val="00FC5D77"/>
    <w:rsid w:val="00FC6345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FF7D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1B59-28E4-41C2-B02F-FEE88710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14</cp:revision>
  <cp:lastPrinted>2019-10-21T13:14:00Z</cp:lastPrinted>
  <dcterms:created xsi:type="dcterms:W3CDTF">2021-10-10T09:48:00Z</dcterms:created>
  <dcterms:modified xsi:type="dcterms:W3CDTF">2021-10-27T12:13:00Z</dcterms:modified>
</cp:coreProperties>
</file>