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12</w:t>
      </w:r>
      <w:r w:rsidR="0087324A">
        <w:rPr>
          <w:rFonts w:ascii="Verdana" w:hAnsi="Verdana" w:cs="Times New Roman"/>
        </w:rPr>
        <w:t>6</w:t>
      </w:r>
      <w:r w:rsidR="00DC49A4">
        <w:rPr>
          <w:rFonts w:ascii="Verdana" w:hAnsi="Verdana" w:cs="Times New Roman"/>
        </w:rPr>
        <w:t>88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№-1, общей площадью: 1</w:t>
      </w:r>
      <w:r w:rsidR="00DC49A4">
        <w:rPr>
          <w:rFonts w:ascii="Verdana" w:hAnsi="Verdana" w:cs="Times New Roman"/>
        </w:rPr>
        <w:t>6</w:t>
      </w:r>
      <w:r w:rsidR="00AE1ABE" w:rsidRPr="001C394C">
        <w:rPr>
          <w:rFonts w:ascii="Verdana" w:hAnsi="Verdana" w:cs="Times New Roman"/>
        </w:rPr>
        <w:t>,</w:t>
      </w:r>
      <w:r w:rsidR="00DC49A4">
        <w:rPr>
          <w:rFonts w:ascii="Verdana" w:hAnsi="Verdana" w:cs="Times New Roman"/>
        </w:rPr>
        <w:t>9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E87512" w:rsidRDefault="00E87512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</w:t>
      </w:r>
      <w:r w:rsidR="00927ABB">
        <w:rPr>
          <w:rFonts w:ascii="Verdana" w:hAnsi="Verdana"/>
          <w:color w:val="000000" w:themeColor="text1"/>
        </w:rPr>
        <w:t>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77:04:0001019:12</w:t>
      </w:r>
      <w:r w:rsidR="00DC49A4">
        <w:rPr>
          <w:rFonts w:ascii="Verdana" w:hAnsi="Verdana"/>
          <w:color w:val="000000" w:themeColor="text1"/>
        </w:rPr>
        <w:t>688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24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596648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596648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596648">
        <w:rPr>
          <w:rFonts w:ascii="Verdana" w:hAnsi="Verdana"/>
        </w:rPr>
        <w:t>09</w:t>
      </w:r>
      <w:bookmarkStart w:id="0" w:name="_GoBack"/>
      <w:bookmarkEnd w:id="0"/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87324A">
        <w:rPr>
          <w:rFonts w:ascii="Verdana" w:hAnsi="Verdana"/>
        </w:rPr>
        <w:t>1</w:t>
      </w:r>
      <w:r w:rsidR="00DC49A4">
        <w:rPr>
          <w:rFonts w:ascii="Verdana" w:hAnsi="Verdana"/>
        </w:rPr>
        <w:t>55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DC49A4">
        <w:rPr>
          <w:rFonts w:ascii="Verdana" w:hAnsi="Verdana"/>
        </w:rPr>
        <w:t>пятьдесят пять</w:t>
      </w:r>
      <w:r w:rsidR="0099708D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77:04:0001019:12</w:t>
      </w:r>
      <w:r w:rsidR="00DC49A4">
        <w:rPr>
          <w:rFonts w:ascii="Verdana" w:eastAsia="Times New Roman" w:hAnsi="Verdana" w:cs="Times New Roman"/>
          <w:sz w:val="20"/>
          <w:szCs w:val="20"/>
          <w:lang w:eastAsia="ru-RU"/>
        </w:rPr>
        <w:t>688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№-1, общей площадью: 1</w:t>
      </w:r>
      <w:r w:rsidR="00DC49A4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DC49A4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DC49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88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87324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DC49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88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FB" w:rsidRDefault="00A018FB" w:rsidP="00E33D4F">
      <w:pPr>
        <w:spacing w:after="0" w:line="240" w:lineRule="auto"/>
      </w:pPr>
      <w:r>
        <w:separator/>
      </w:r>
    </w:p>
  </w:endnote>
  <w:endnote w:type="continuationSeparator" w:id="0">
    <w:p w:rsidR="00A018FB" w:rsidRDefault="00A018FB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648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FB" w:rsidRDefault="00A018FB" w:rsidP="00E33D4F">
      <w:pPr>
        <w:spacing w:after="0" w:line="240" w:lineRule="auto"/>
      </w:pPr>
      <w:r>
        <w:separator/>
      </w:r>
    </w:p>
  </w:footnote>
  <w:footnote w:type="continuationSeparator" w:id="0">
    <w:p w:rsidR="00A018FB" w:rsidRDefault="00A018FB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13AF0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96648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EE5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27ABB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18FB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9A4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87512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BBEBA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28B1-7E76-404D-8D43-BECC2521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2021-10-20T13:08:00Z</dcterms:created>
  <dcterms:modified xsi:type="dcterms:W3CDTF">2021-10-20T13:08:00Z</dcterms:modified>
</cp:coreProperties>
</file>