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D8" w:rsidRPr="006164E0" w:rsidRDefault="002B43D8" w:rsidP="00C56A08">
      <w:pPr>
        <w:pStyle w:val="a7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упли-продажи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1B0214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1B0214">
        <w:rPr>
          <w:sz w:val="22"/>
          <w:szCs w:val="22"/>
        </w:rPr>
        <w:t>Акционерное общество «</w:t>
      </w:r>
      <w:proofErr w:type="spellStart"/>
      <w:r w:rsidRPr="001B0214">
        <w:rPr>
          <w:sz w:val="22"/>
          <w:szCs w:val="22"/>
        </w:rPr>
        <w:t>Зернобанк</w:t>
      </w:r>
      <w:proofErr w:type="spellEnd"/>
      <w:r w:rsidRPr="001B0214">
        <w:rPr>
          <w:sz w:val="22"/>
          <w:szCs w:val="22"/>
        </w:rPr>
        <w:t>» (АО «</w:t>
      </w:r>
      <w:proofErr w:type="spellStart"/>
      <w:r w:rsidRPr="001B0214">
        <w:rPr>
          <w:sz w:val="22"/>
          <w:szCs w:val="22"/>
        </w:rPr>
        <w:t>Зернобанк</w:t>
      </w:r>
      <w:proofErr w:type="spellEnd"/>
      <w:r w:rsidRPr="001B0214">
        <w:rPr>
          <w:sz w:val="22"/>
          <w:szCs w:val="22"/>
        </w:rPr>
        <w:t>»)</w:t>
      </w:r>
      <w:r w:rsidR="00F124B8" w:rsidRPr="00F60B21">
        <w:rPr>
          <w:sz w:val="22"/>
          <w:szCs w:val="22"/>
        </w:rPr>
        <w:t>,</w:t>
      </w:r>
      <w:r w:rsidR="00F124B8" w:rsidRPr="006164E0">
        <w:rPr>
          <w:sz w:val="22"/>
          <w:szCs w:val="22"/>
        </w:rPr>
        <w:t xml:space="preserve">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1B0214">
        <w:rPr>
          <w:sz w:val="22"/>
          <w:szCs w:val="22"/>
        </w:rPr>
        <w:t>Арбитражного суда Алтайского края от 07.12.2015 №А03-20515/2015</w:t>
      </w:r>
      <w:r w:rsidR="004F6718" w:rsidRPr="004F6718">
        <w:rPr>
          <w:sz w:val="22"/>
          <w:szCs w:val="22"/>
        </w:rPr>
        <w:t xml:space="preserve"> </w:t>
      </w:r>
      <w:r w:rsidR="00F124B8" w:rsidRPr="006164E0">
        <w:rPr>
          <w:sz w:val="22"/>
          <w:szCs w:val="22"/>
        </w:rPr>
        <w:t>и доверенности от _________ № __</w:t>
      </w:r>
      <w:r w:rsidR="00DC160A" w:rsidRPr="006164E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93498" w:rsidRPr="006164E0">
        <w:rPr>
          <w:sz w:val="22"/>
          <w:szCs w:val="22"/>
        </w:rPr>
        <w:t xml:space="preserve">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8721D2" w:rsidRPr="00792504" w:rsidRDefault="008721D2" w:rsidP="008721D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92504">
        <w:rPr>
          <w:sz w:val="22"/>
          <w:szCs w:val="22"/>
        </w:rPr>
        <w:t xml:space="preserve">3.2.7. </w:t>
      </w:r>
      <w:r w:rsidR="00E41878" w:rsidRPr="00E41878">
        <w:rPr>
          <w:sz w:val="22"/>
          <w:szCs w:val="22"/>
        </w:rPr>
        <w:t>Покупатель принимает на себя обязательства по соблюдению установленных в соответствии с Федеральным законом от 25 июня 2002 года N 73-ФЗ «Об объектах культурного наследия (памятниках истории и культуры) народов Российской Федерации» ограничений права пользования и соблюдение особого режима использования земельного участка с кадастровым номером 22:65:016227:2, расположенного в зоне с особыми условиями использования территории с реестровым номером 22:65-6.665, в зоне охраны объекта культурного наследия.</w:t>
      </w:r>
      <w:bookmarkStart w:id="0" w:name="_GoBack"/>
      <w:bookmarkEnd w:id="0"/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_______________</w:t>
      </w:r>
      <w:proofErr w:type="gramStart"/>
      <w:r w:rsidR="00796FC4" w:rsidRPr="006164E0">
        <w:rPr>
          <w:sz w:val="22"/>
          <w:szCs w:val="22"/>
        </w:rPr>
        <w:t>_</w:t>
      </w:r>
      <w:r w:rsidR="002F0C45" w:rsidRPr="006164E0">
        <w:rPr>
          <w:i/>
          <w:sz w:val="22"/>
          <w:szCs w:val="22"/>
        </w:rPr>
        <w:t>(</w:t>
      </w:r>
      <w:proofErr w:type="gramEnd"/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2067D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F2" w:rsidRDefault="00DC27F2">
      <w:r>
        <w:separator/>
      </w:r>
    </w:p>
  </w:endnote>
  <w:endnote w:type="continuationSeparator" w:id="0">
    <w:p w:rsidR="00DC27F2" w:rsidRDefault="00DC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F2" w:rsidRDefault="00DC27F2">
      <w:r>
        <w:separator/>
      </w:r>
    </w:p>
  </w:footnote>
  <w:footnote w:type="continuationSeparator" w:id="0">
    <w:p w:rsidR="00DC27F2" w:rsidRDefault="00DC27F2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1878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058A2"/>
    <w:rsid w:val="00112CA8"/>
    <w:rsid w:val="00117A88"/>
    <w:rsid w:val="001200FD"/>
    <w:rsid w:val="00125AF0"/>
    <w:rsid w:val="001316DA"/>
    <w:rsid w:val="00133B9F"/>
    <w:rsid w:val="00134061"/>
    <w:rsid w:val="0013411B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021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7D4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B727C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67FA7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4F6718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17889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21D2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7F2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1878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0B21"/>
    <w:rsid w:val="00F66113"/>
    <w:rsid w:val="00F66A1D"/>
    <w:rsid w:val="00F7010B"/>
    <w:rsid w:val="00F745D3"/>
    <w:rsid w:val="00F81A57"/>
    <w:rsid w:val="00F81BED"/>
    <w:rsid w:val="00F931EA"/>
    <w:rsid w:val="00F97D4C"/>
    <w:rsid w:val="00F97D59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A963-4A73-494B-A4D3-9DB4D089C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748535-7291-429A-9C06-A9C7700A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1495</Words>
  <Characters>10486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Якушева Лейла Александровна</cp:lastModifiedBy>
  <cp:revision>16</cp:revision>
  <cp:lastPrinted>2017-02-09T08:03:00Z</cp:lastPrinted>
  <dcterms:created xsi:type="dcterms:W3CDTF">2017-04-06T14:02:00Z</dcterms:created>
  <dcterms:modified xsi:type="dcterms:W3CDTF">2021-08-03T11:08:00Z</dcterms:modified>
</cp:coreProperties>
</file>