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0DEC7A35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7D46D777" w:rsidR="00CC3B0A" w:rsidRPr="00224F8A" w:rsidRDefault="00CC3B0A" w:rsidP="00031CDC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702148C5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Протокола </w:t>
      </w:r>
      <w:r w:rsidR="00DE7C76"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5F5D" w:rsidRPr="00645BF6" w14:paraId="389E18F5" w14:textId="77777777" w:rsidTr="00B54383">
        <w:tc>
          <w:tcPr>
            <w:tcW w:w="9634" w:type="dxa"/>
            <w:vAlign w:val="center"/>
          </w:tcPr>
          <w:p w14:paraId="0C58A404" w14:textId="62689655" w:rsidR="00CF4FA1" w:rsidRPr="00CF4FA1" w:rsidRDefault="00515F5D" w:rsidP="00CF4FA1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i/>
                <w:color w:val="0070C0"/>
              </w:rPr>
            </w:pPr>
            <w:r w:rsidRPr="005151E4">
              <w:rPr>
                <w:rFonts w:ascii="Verdana" w:hAnsi="Verdana"/>
                <w:sz w:val="18"/>
                <w:szCs w:val="18"/>
              </w:rPr>
              <w:t xml:space="preserve">Нежилое </w:t>
            </w:r>
            <w:r w:rsidR="00CF4FA1">
              <w:rPr>
                <w:rFonts w:ascii="Verdana" w:hAnsi="Verdana"/>
                <w:sz w:val="18"/>
                <w:szCs w:val="18"/>
              </w:rPr>
              <w:t>помещение</w:t>
            </w:r>
            <w:r w:rsidRPr="005151E4">
              <w:rPr>
                <w:rFonts w:ascii="Verdana" w:hAnsi="Verdana"/>
                <w:sz w:val="18"/>
                <w:szCs w:val="18"/>
              </w:rPr>
              <w:t xml:space="preserve">, общей площадью </w:t>
            </w:r>
            <w:r w:rsidR="000B2BB0">
              <w:rPr>
                <w:rFonts w:ascii="Verdana" w:hAnsi="Verdana"/>
                <w:sz w:val="18"/>
                <w:szCs w:val="18"/>
              </w:rPr>
              <w:t>177,2</w:t>
            </w:r>
            <w:r w:rsidRPr="005151E4">
              <w:rPr>
                <w:rFonts w:ascii="Verdana" w:hAnsi="Verdana"/>
                <w:sz w:val="18"/>
                <w:szCs w:val="18"/>
              </w:rPr>
              <w:t xml:space="preserve"> кв.м., кадастровый номер </w:t>
            </w:r>
            <w:r w:rsidR="000B2BB0">
              <w:rPr>
                <w:rFonts w:ascii="Verdana" w:hAnsi="Verdana" w:cs="TimesNewRomanPS-BoldMT"/>
                <w:bCs/>
                <w:sz w:val="18"/>
                <w:szCs w:val="18"/>
              </w:rPr>
              <w:t>69:46:0070228:67</w:t>
            </w:r>
            <w:r w:rsidRPr="005151E4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CF4FA1">
              <w:rPr>
                <w:rFonts w:ascii="Verdana" w:hAnsi="Verdana"/>
                <w:sz w:val="18"/>
                <w:szCs w:val="18"/>
              </w:rPr>
              <w:t xml:space="preserve">расположенное по адресу: </w:t>
            </w:r>
            <w:r w:rsidR="000B2BB0">
              <w:rPr>
                <w:rFonts w:ascii="Verdana" w:hAnsi="Verdana"/>
                <w:sz w:val="18"/>
                <w:szCs w:val="18"/>
              </w:rPr>
              <w:t>Тверская область, гор. Ржев, ул. Куприянова, д.46</w:t>
            </w:r>
            <w:r w:rsidR="00CF4FA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F4FA1" w:rsidRPr="008509DF">
              <w:rPr>
                <w:rFonts w:ascii="Verdana" w:hAnsi="Verdana"/>
              </w:rPr>
              <w:t>(далее имен</w:t>
            </w:r>
            <w:r w:rsidR="00045453">
              <w:rPr>
                <w:rFonts w:ascii="Verdana" w:hAnsi="Verdana"/>
              </w:rPr>
              <w:t>уемое – «недвижимое имущество»).</w:t>
            </w:r>
          </w:p>
          <w:p w14:paraId="7222B59C" w14:textId="1EB1F2EC" w:rsidR="00515F5D" w:rsidRPr="00CF4FA1" w:rsidRDefault="00515F5D" w:rsidP="00EF378C">
            <w:pPr>
              <w:jc w:val="both"/>
              <w:rPr>
                <w:rFonts w:ascii="Verdana" w:hAnsi="Verdana"/>
                <w:i/>
                <w:color w:val="0070C0"/>
              </w:rPr>
            </w:pPr>
            <w:r w:rsidRPr="00CF4FA1">
              <w:rPr>
                <w:rFonts w:ascii="Verdana" w:hAnsi="Verdana"/>
                <w:sz w:val="18"/>
                <w:szCs w:val="18"/>
              </w:rPr>
              <w:t xml:space="preserve"> Согласно ст. 552 Гражданского кодекса Российской Федерации, ст.35 Земельного кодекса Российской Федерации Покупатель с момента регистрации перехода права собственности на </w:t>
            </w:r>
            <w:r w:rsidR="00EF378C">
              <w:rPr>
                <w:rFonts w:ascii="Verdana" w:hAnsi="Verdana"/>
                <w:sz w:val="18"/>
                <w:szCs w:val="18"/>
              </w:rPr>
              <w:t>недвижимое имущество</w:t>
            </w:r>
            <w:r w:rsidR="00EF378C" w:rsidRPr="00CF4FA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F4FA1">
              <w:rPr>
                <w:rFonts w:ascii="Verdana" w:hAnsi="Verdana"/>
                <w:sz w:val="18"/>
                <w:szCs w:val="18"/>
              </w:rPr>
              <w:t xml:space="preserve">приобретает право пользования земельным </w:t>
            </w:r>
            <w:r w:rsidR="00EF378C" w:rsidRPr="00CF4FA1">
              <w:rPr>
                <w:rFonts w:ascii="Verdana" w:hAnsi="Verdana"/>
                <w:sz w:val="18"/>
                <w:szCs w:val="18"/>
              </w:rPr>
              <w:t>участк</w:t>
            </w:r>
            <w:r w:rsidR="00EF378C">
              <w:rPr>
                <w:rFonts w:ascii="Verdana" w:hAnsi="Verdana"/>
                <w:sz w:val="18"/>
                <w:szCs w:val="18"/>
              </w:rPr>
              <w:t>ом</w:t>
            </w:r>
            <w:r w:rsidRPr="00CF4FA1">
              <w:rPr>
                <w:rFonts w:ascii="Verdana" w:hAnsi="Verdana"/>
                <w:sz w:val="18"/>
                <w:szCs w:val="18"/>
              </w:rPr>
              <w:t xml:space="preserve">, на котором </w:t>
            </w:r>
            <w:r w:rsidR="00EF378C" w:rsidRPr="00CF4FA1">
              <w:rPr>
                <w:rFonts w:ascii="Verdana" w:hAnsi="Verdana"/>
                <w:sz w:val="18"/>
                <w:szCs w:val="18"/>
              </w:rPr>
              <w:t>расположен</w:t>
            </w:r>
            <w:r w:rsidR="00EF378C">
              <w:rPr>
                <w:rFonts w:ascii="Verdana" w:hAnsi="Verdana"/>
                <w:sz w:val="18"/>
                <w:szCs w:val="18"/>
              </w:rPr>
              <w:t>о</w:t>
            </w:r>
            <w:r w:rsidR="00EF378C" w:rsidRPr="00CF4FA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F378C">
              <w:rPr>
                <w:rFonts w:ascii="Verdana" w:hAnsi="Verdana"/>
                <w:sz w:val="18"/>
                <w:szCs w:val="18"/>
              </w:rPr>
              <w:t>недвижимое имущество</w:t>
            </w:r>
            <w:r w:rsidRPr="00CF4FA1">
              <w:rPr>
                <w:rFonts w:ascii="Verdana" w:hAnsi="Verdana"/>
                <w:sz w:val="18"/>
                <w:szCs w:val="18"/>
              </w:rPr>
              <w:t>, на тех же условиях, что и Продавец.</w:t>
            </w:r>
          </w:p>
        </w:tc>
      </w:tr>
      <w:tr w:rsidR="00AF721D" w14:paraId="2501F8FC" w14:textId="77777777" w:rsidTr="00B54383">
        <w:tc>
          <w:tcPr>
            <w:tcW w:w="9634" w:type="dxa"/>
          </w:tcPr>
          <w:p w14:paraId="7B632150" w14:textId="3607F342" w:rsidR="00AF721D" w:rsidRDefault="00AF721D" w:rsidP="007B773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r w:rsidR="00715CF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515F5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ежилое помещение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 на основании</w:t>
            </w:r>
            <w:r w:rsidR="001E1CE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B5438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Договора купли-продажи недвижимого имущества от 06.12.2007, Акта приема-передачи недвижимого имущества от 06.12.2007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о чем в Едином государственном реестре недвижимости сделана запись о регистрации</w:t>
            </w:r>
            <w:r w:rsidR="007B773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7B7732">
              <w:rPr>
                <w:rFonts w:ascii="Verdana" w:hAnsi="Verdana"/>
                <w:i/>
                <w:color w:val="0070C0"/>
                <w:sz w:val="20"/>
                <w:szCs w:val="20"/>
              </w:rPr>
              <w:t>№ 69-69-22/038/2007-473</w:t>
            </w:r>
            <w:r w:rsidR="007B7732" w:rsidRPr="00515F5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от </w:t>
            </w:r>
            <w:r w:rsidR="007B7732">
              <w:rPr>
                <w:rFonts w:ascii="Verdana" w:hAnsi="Verdana"/>
                <w:i/>
                <w:color w:val="0070C0"/>
                <w:sz w:val="20"/>
                <w:szCs w:val="20"/>
              </w:rPr>
              <w:t>20.12.2007</w:t>
            </w:r>
            <w:r w:rsidR="007B7732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,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, что подтверждается Выпиской из Единого государственного реестра недвижимости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от </w:t>
            </w:r>
            <w:r w:rsidR="000B2BB0">
              <w:rPr>
                <w:rFonts w:ascii="Verdana" w:hAnsi="Verdana"/>
                <w:i/>
                <w:color w:val="0070C0"/>
                <w:sz w:val="20"/>
                <w:szCs w:val="20"/>
              </w:rPr>
              <w:t>18</w:t>
            </w:r>
            <w:r w:rsidR="00C4318C">
              <w:rPr>
                <w:rFonts w:ascii="Verdana" w:hAnsi="Verdana"/>
                <w:i/>
                <w:color w:val="0070C0"/>
                <w:sz w:val="20"/>
                <w:szCs w:val="20"/>
              </w:rPr>
              <w:t>.10</w:t>
            </w:r>
            <w:r w:rsidR="00CF4FA1">
              <w:rPr>
                <w:rFonts w:ascii="Verdana" w:hAnsi="Verdana"/>
                <w:i/>
                <w:color w:val="0070C0"/>
                <w:sz w:val="20"/>
                <w:szCs w:val="20"/>
              </w:rPr>
              <w:t>.2021</w:t>
            </w:r>
            <w:r w:rsidR="00515F5D" w:rsidRPr="00515F5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№ </w:t>
            </w:r>
            <w:r w:rsidR="00C4318C">
              <w:rPr>
                <w:rFonts w:ascii="Verdana" w:hAnsi="Verdana"/>
                <w:i/>
                <w:color w:val="0070C0"/>
                <w:sz w:val="20"/>
                <w:szCs w:val="20"/>
              </w:rPr>
              <w:t>99/2021/</w:t>
            </w:r>
            <w:r w:rsidR="000B2BB0">
              <w:rPr>
                <w:rFonts w:ascii="Verdana" w:hAnsi="Verdana"/>
                <w:i/>
                <w:color w:val="0070C0"/>
                <w:sz w:val="20"/>
                <w:szCs w:val="20"/>
              </w:rPr>
              <w:t>424747874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121C5402" w14:textId="4CD79EEF" w:rsidR="00D911F0" w:rsidRPr="008509DF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lastRenderedPageBreak/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5BFC687C" w14:textId="77777777" w:rsidR="000B2BB0" w:rsidRPr="00224F8A" w:rsidRDefault="000B2BB0" w:rsidP="000B2BB0">
      <w:pPr>
        <w:spacing w:after="0"/>
        <w:jc w:val="both"/>
        <w:rPr>
          <w:rFonts w:ascii="Verdana" w:hAnsi="Verdana"/>
          <w:sz w:val="20"/>
          <w:szCs w:val="20"/>
        </w:rPr>
      </w:pPr>
      <w:r w:rsidRPr="00224F8A">
        <w:rPr>
          <w:rFonts w:ascii="Verdana" w:hAnsi="Verdana"/>
          <w:sz w:val="20"/>
          <w:szCs w:val="20"/>
        </w:rPr>
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</w:r>
    </w:p>
    <w:p w14:paraId="1E24915A" w14:textId="00FB4291" w:rsidR="0034333C" w:rsidRPr="008509DF" w:rsidRDefault="000B2BB0" w:rsidP="000B2BB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224F8A">
        <w:rPr>
          <w:rFonts w:ascii="Verdana" w:hAnsi="Verdana"/>
        </w:rPr>
        <w:t>На дату подписания Договора недвижимое имущество не обременено правами третьих лиц, кр</w:t>
      </w:r>
      <w:r>
        <w:rPr>
          <w:rFonts w:ascii="Verdana" w:hAnsi="Verdana"/>
        </w:rPr>
        <w:t>оме как правами аренды</w:t>
      </w:r>
      <w:r w:rsidRPr="00224F8A">
        <w:rPr>
          <w:rFonts w:ascii="Verdana" w:hAnsi="Verdana"/>
        </w:rPr>
        <w:t xml:space="preserve">, а именно: </w:t>
      </w:r>
      <w:r w:rsidRPr="00224F8A">
        <w:rPr>
          <w:rFonts w:ascii="Verdana" w:hAnsi="Verdana" w:cs="Times New Roman"/>
        </w:rPr>
        <w:t xml:space="preserve">в отношении недвижимого имущества </w:t>
      </w:r>
      <w:r>
        <w:rPr>
          <w:rFonts w:ascii="Verdana" w:hAnsi="Verdana" w:cs="Times New Roman"/>
        </w:rPr>
        <w:t>заключены договор аренды от 01.04.2015 с ЧУ «ЦД «Гиппократ».</w:t>
      </w: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69A29B62" w14:textId="703DDE7F" w:rsidR="00BD2793" w:rsidRDefault="007F65D0" w:rsidP="000B2BB0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44D8C6" w14:textId="2D4334FB" w:rsidR="00950FF3" w:rsidRPr="00FC2688" w:rsidRDefault="00950FF3" w:rsidP="0004545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FC2688">
        <w:rPr>
          <w:rFonts w:ascii="Verdana" w:hAnsi="Verdana"/>
        </w:rPr>
        <w:t>–</w:t>
      </w:r>
      <w:r w:rsidR="00CF4FA1">
        <w:rPr>
          <w:rFonts w:ascii="Verdana" w:hAnsi="Verdana"/>
        </w:rPr>
        <w:t xml:space="preserve"> </w:t>
      </w:r>
      <w:r w:rsidRPr="00FC2688">
        <w:rPr>
          <w:rFonts w:ascii="Verdana" w:hAnsi="Verdana"/>
        </w:rPr>
        <w:t xml:space="preserve">Стоимость </w:t>
      </w:r>
      <w:r w:rsidR="00045453">
        <w:rPr>
          <w:rFonts w:ascii="Verdana" w:hAnsi="Verdana"/>
        </w:rPr>
        <w:t>недвижимого имущества</w:t>
      </w:r>
      <w:r w:rsidRPr="00FC2688">
        <w:rPr>
          <w:rFonts w:ascii="Verdana" w:hAnsi="Verdana"/>
        </w:rPr>
        <w:t xml:space="preserve"> составляет ______________________ (__________________) рублей ___ копеек (</w:t>
      </w:r>
      <w:r w:rsidR="00045453" w:rsidRPr="00045453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Pr="00FC2688">
        <w:rPr>
          <w:rFonts w:ascii="Verdana" w:hAnsi="Verdana"/>
        </w:rPr>
        <w:t>)</w:t>
      </w:r>
      <w:r w:rsidR="00045453">
        <w:rPr>
          <w:rFonts w:ascii="Verdana" w:hAnsi="Verdana"/>
        </w:rPr>
        <w:t>.</w:t>
      </w:r>
    </w:p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10A1D4A" w:rsidR="00AB5223" w:rsidRPr="008509DF" w:rsidRDefault="00DE0E51" w:rsidP="00B5438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774B83CC" w:rsidR="001E5436" w:rsidRPr="00566401" w:rsidRDefault="00B71921" w:rsidP="00B5438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20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двадцати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462602DE" w:rsidR="00891CDE" w:rsidRPr="008C63A5" w:rsidRDefault="00891CDE" w:rsidP="00891C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 в том числе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 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0EC75D9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20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  (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>двадцати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191E0613" w:rsidR="00AF721D" w:rsidRPr="008076AD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Покупателем д</w:t>
            </w:r>
            <w:r w:rsidR="00045453">
              <w:rPr>
                <w:rFonts w:ascii="Verdana" w:hAnsi="Verdana"/>
              </w:rPr>
              <w:t xml:space="preserve">ля участия в аукционе в размере </w:t>
            </w:r>
            <w:r w:rsidR="000B2BB0">
              <w:rPr>
                <w:rFonts w:ascii="Verdana" w:hAnsi="Verdana"/>
              </w:rPr>
              <w:t>281 600</w:t>
            </w:r>
            <w:r w:rsidRPr="008076AD">
              <w:rPr>
                <w:rFonts w:ascii="Verdana" w:hAnsi="Verdana"/>
                <w:i/>
                <w:color w:val="0070C0"/>
              </w:rPr>
              <w:t xml:space="preserve"> (</w:t>
            </w:r>
            <w:r w:rsidR="000B2BB0">
              <w:rPr>
                <w:rFonts w:ascii="Verdana" w:hAnsi="Verdana"/>
                <w:i/>
                <w:color w:val="0070C0"/>
              </w:rPr>
              <w:t>Двести восемьдесят одна тысяча шестьсот</w:t>
            </w:r>
            <w:r w:rsidRPr="008076AD">
              <w:rPr>
                <w:rFonts w:ascii="Verdana" w:hAnsi="Verdana"/>
                <w:i/>
                <w:color w:val="0070C0"/>
              </w:rPr>
              <w:t>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рублей </w:t>
            </w:r>
            <w:r w:rsidR="00045453">
              <w:rPr>
                <w:rFonts w:ascii="Verdana" w:hAnsi="Verdana"/>
                <w:color w:val="0070C0"/>
              </w:rPr>
              <w:t>00</w:t>
            </w:r>
            <w:r w:rsidRPr="008076AD">
              <w:rPr>
                <w:rFonts w:ascii="Verdana" w:hAnsi="Verdana"/>
              </w:rPr>
              <w:t xml:space="preserve"> копеек </w:t>
            </w:r>
            <w:r w:rsidRPr="008076AD">
              <w:rPr>
                <w:rFonts w:ascii="Verdana" w:hAnsi="Verdana"/>
                <w:i/>
                <w:color w:val="0070C0"/>
              </w:rPr>
              <w:t xml:space="preserve">(в том числе НДС, исчисленный в соответствии </w:t>
            </w:r>
            <w:r w:rsidR="00045453">
              <w:rPr>
                <w:rFonts w:ascii="Verdana" w:hAnsi="Verdana"/>
                <w:i/>
                <w:color w:val="0070C0"/>
              </w:rPr>
              <w:t>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</w:rPr>
              <w:t>),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 xml:space="preserve">едвижимого </w:t>
            </w:r>
            <w:r w:rsidR="00CD0BC6" w:rsidRPr="008076AD">
              <w:rPr>
                <w:rFonts w:ascii="Verdana" w:hAnsi="Verdana"/>
              </w:rPr>
              <w:lastRenderedPageBreak/>
              <w:t>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54383">
              <w:rPr>
                <w:rFonts w:ascii="Verdana" w:hAnsi="Verdana"/>
                <w:i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488475BB" w:rsidR="00073672" w:rsidRPr="001C1460" w:rsidRDefault="00491848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4E3203CD" w:rsidR="00566401" w:rsidRDefault="00491848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05542CCA" w:rsidR="00045453" w:rsidRDefault="00045453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A9F4666" w:rsidR="00CC3B0A" w:rsidRPr="00CC3B0A" w:rsidRDefault="00CC3B0A" w:rsidP="00E8479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5E5CFF47" w14:textId="6F5390CB" w:rsidR="00045453" w:rsidRDefault="000B2BB0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0B2BB0">
              <w:rPr>
                <w:rFonts w:ascii="Verdana" w:hAnsi="Verdana"/>
                <w:sz w:val="18"/>
                <w:szCs w:val="18"/>
              </w:rPr>
              <w:t>Нежилое помещение, общей площадью 177,2 кв.м., кадастровый номер 69:46:0070228:67, расположенное по адресу: Тверская область, гор. Ржев, ул. Куприянова, д.46</w:t>
            </w:r>
          </w:p>
          <w:p w14:paraId="0E71336F" w14:textId="6642C4A1" w:rsidR="00515F5D" w:rsidRDefault="00515F5D" w:rsidP="00DA4280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625A7">
              <w:rPr>
                <w:rFonts w:ascii="Verdana" w:hAnsi="Verdana"/>
                <w:sz w:val="18"/>
                <w:szCs w:val="18"/>
              </w:rPr>
              <w:t xml:space="preserve">Согласно ст. 552 Гражданского кодекса Российской Федерации, ст.35 Земельного кодекса Российской Федерации Покупатель с момента регистрации перехода права собственности на </w:t>
            </w:r>
            <w:r w:rsidR="00DA4280" w:rsidRPr="00CF4FA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A4280">
              <w:rPr>
                <w:rFonts w:ascii="Verdana" w:hAnsi="Verdana"/>
                <w:sz w:val="18"/>
                <w:szCs w:val="18"/>
              </w:rPr>
              <w:t>недвижимое имущество</w:t>
            </w:r>
            <w:r w:rsidR="00DA4280" w:rsidRPr="00CF4FA1">
              <w:rPr>
                <w:rFonts w:ascii="Verdana" w:hAnsi="Verdana"/>
                <w:sz w:val="18"/>
                <w:szCs w:val="18"/>
              </w:rPr>
              <w:t xml:space="preserve"> приобретает право пользования земельным участк</w:t>
            </w:r>
            <w:r w:rsidR="00DA4280">
              <w:rPr>
                <w:rFonts w:ascii="Verdana" w:hAnsi="Verdana"/>
                <w:sz w:val="18"/>
                <w:szCs w:val="18"/>
              </w:rPr>
              <w:t>ом</w:t>
            </w:r>
            <w:r w:rsidR="00DA4280" w:rsidRPr="00CF4FA1">
              <w:rPr>
                <w:rFonts w:ascii="Verdana" w:hAnsi="Verdana"/>
                <w:sz w:val="18"/>
                <w:szCs w:val="18"/>
              </w:rPr>
              <w:t>, на котором расположен</w:t>
            </w:r>
            <w:r w:rsidR="00DA4280">
              <w:rPr>
                <w:rFonts w:ascii="Verdana" w:hAnsi="Verdana"/>
                <w:sz w:val="18"/>
                <w:szCs w:val="18"/>
              </w:rPr>
              <w:t>о</w:t>
            </w:r>
            <w:r w:rsidR="00DA4280" w:rsidRPr="00CF4FA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A4280">
              <w:rPr>
                <w:rFonts w:ascii="Verdana" w:hAnsi="Verdana"/>
                <w:sz w:val="18"/>
                <w:szCs w:val="18"/>
              </w:rPr>
              <w:t>недвижимое имущество</w:t>
            </w:r>
            <w:r w:rsidRPr="000625A7">
              <w:rPr>
                <w:rFonts w:ascii="Verdana" w:hAnsi="Verdana"/>
                <w:sz w:val="18"/>
                <w:szCs w:val="18"/>
              </w:rPr>
              <w:t>, на тех же условиях, что и Продавец.</w:t>
            </w: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472C248D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58AAA5EA" w14:textId="77777777" w:rsidR="00031CDC" w:rsidRPr="00DE4A80" w:rsidDel="00031CDC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031CDC" w:rsidRPr="0055668A" w14:paraId="30CCDE40" w14:textId="77777777" w:rsidTr="00671A99">
        <w:tc>
          <w:tcPr>
            <w:tcW w:w="2411" w:type="dxa"/>
            <w:shd w:val="clear" w:color="auto" w:fill="auto"/>
          </w:tcPr>
          <w:p w14:paraId="25ABE18B" w14:textId="77777777" w:rsidR="00031CDC" w:rsidRPr="0055668A" w:rsidRDefault="00031CDC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DF85BAD" w14:textId="77777777" w:rsidR="00031CDC" w:rsidRPr="0055668A" w:rsidRDefault="00031CDC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4BE1CEF1" w14:textId="77777777" w:rsidR="00031CDC" w:rsidRPr="0055668A" w:rsidRDefault="00031CDC" w:rsidP="00671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031CDC" w:rsidRPr="0055668A" w14:paraId="7008836F" w14:textId="77777777" w:rsidTr="00671A99">
        <w:tc>
          <w:tcPr>
            <w:tcW w:w="2411" w:type="dxa"/>
            <w:shd w:val="clear" w:color="auto" w:fill="auto"/>
          </w:tcPr>
          <w:p w14:paraId="3E7709E7" w14:textId="77777777" w:rsidR="00031CDC" w:rsidRPr="0055668A" w:rsidRDefault="00031CDC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7C3B5C9" w14:textId="77777777" w:rsidR="00031CDC" w:rsidRPr="0055668A" w:rsidRDefault="00031CDC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A21DC2D" w14:textId="77777777" w:rsidR="00031CDC" w:rsidRPr="0055668A" w:rsidRDefault="00031CDC" w:rsidP="00671A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2D054FA8" w14:textId="27EC2889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01642D23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245B4C" w14:textId="212AB8C8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FF9A4F" w14:textId="6E324DC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DE290E" w14:textId="76FAEB49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14D54" w14:textId="5726AB6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8BB52B" w14:textId="3BF6760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9D8A8" w14:textId="48B927CD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38B2FA" w14:textId="621282CA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307AB6" w14:textId="0E384E2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1A4113" w14:textId="25694CB4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B0578D" w14:textId="703C9FA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C4DD05" w14:textId="754C880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0C8E7B" w14:textId="77777777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4564B9C6" w:rsidR="00686D08" w:rsidRPr="00B5438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D1E6BAA" w14:textId="77777777" w:rsidR="00E1012B" w:rsidRPr="00E1012B" w:rsidRDefault="00E1012B" w:rsidP="00E10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1012B">
        <w:rPr>
          <w:rFonts w:ascii="Verdana" w:hAnsi="Verdana" w:cs="Verdana"/>
          <w:color w:val="000000"/>
          <w:sz w:val="18"/>
          <w:szCs w:val="18"/>
        </w:rPr>
        <w:t xml:space="preserve">Банк-эмитент по аккредитиву - из топ-30 по объему капитала (прим: рейтинг доступен по ссылке: http://vid1.rian.ru/ig/ratings/banki_07_01_20.pdf) </w:t>
      </w:r>
    </w:p>
    <w:p w14:paraId="4437B2D4" w14:textId="77777777" w:rsidR="00E1012B" w:rsidRPr="00B54383" w:rsidRDefault="00E1012B" w:rsidP="00B54383">
      <w:p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>, ОГРН 1027800000480, БИК 044525635, корр/счет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FF421" w14:textId="77777777" w:rsidR="00DF3221" w:rsidRDefault="00DF3221" w:rsidP="00E33D4F">
      <w:pPr>
        <w:spacing w:after="0" w:line="240" w:lineRule="auto"/>
      </w:pPr>
      <w:r>
        <w:separator/>
      </w:r>
    </w:p>
  </w:endnote>
  <w:endnote w:type="continuationSeparator" w:id="0">
    <w:p w14:paraId="7897E168" w14:textId="77777777" w:rsidR="00DF3221" w:rsidRDefault="00DF322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2DA5A1A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383">
          <w:rPr>
            <w:noProof/>
          </w:rPr>
          <w:t>11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A950A" w14:textId="77777777" w:rsidR="00DF3221" w:rsidRDefault="00DF3221" w:rsidP="00E33D4F">
      <w:pPr>
        <w:spacing w:after="0" w:line="240" w:lineRule="auto"/>
      </w:pPr>
      <w:r>
        <w:separator/>
      </w:r>
    </w:p>
  </w:footnote>
  <w:footnote w:type="continuationSeparator" w:id="0">
    <w:p w14:paraId="3277BDDF" w14:textId="77777777" w:rsidR="00DF3221" w:rsidRDefault="00DF3221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1CDC"/>
    <w:rsid w:val="00032CB8"/>
    <w:rsid w:val="000351E6"/>
    <w:rsid w:val="000365BF"/>
    <w:rsid w:val="000379B6"/>
    <w:rsid w:val="00045453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1EFD"/>
    <w:rsid w:val="000B2BB0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446A"/>
    <w:rsid w:val="001358A7"/>
    <w:rsid w:val="0013718F"/>
    <w:rsid w:val="00137E3F"/>
    <w:rsid w:val="00140E16"/>
    <w:rsid w:val="00141448"/>
    <w:rsid w:val="001417CE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1848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87CA7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0F07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05A4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97DE8"/>
    <w:rsid w:val="007A18E8"/>
    <w:rsid w:val="007A3AAC"/>
    <w:rsid w:val="007A511A"/>
    <w:rsid w:val="007A5D47"/>
    <w:rsid w:val="007B1259"/>
    <w:rsid w:val="007B20FA"/>
    <w:rsid w:val="007B30AC"/>
    <w:rsid w:val="007B7732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65D0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383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318C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4FA1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4280"/>
    <w:rsid w:val="00DA5B8B"/>
    <w:rsid w:val="00DB04D4"/>
    <w:rsid w:val="00DB3FA8"/>
    <w:rsid w:val="00DB7C9E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E7C76"/>
    <w:rsid w:val="00DF059C"/>
    <w:rsid w:val="00DF28F5"/>
    <w:rsid w:val="00DF3221"/>
    <w:rsid w:val="00DF5AE1"/>
    <w:rsid w:val="00DF6F0D"/>
    <w:rsid w:val="00E00951"/>
    <w:rsid w:val="00E017BB"/>
    <w:rsid w:val="00E0243A"/>
    <w:rsid w:val="00E032E5"/>
    <w:rsid w:val="00E06386"/>
    <w:rsid w:val="00E077AC"/>
    <w:rsid w:val="00E1012B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791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78C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7833-EC22-4D55-BC65-70373F9C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Борщевич Марина Андреевна</cp:lastModifiedBy>
  <cp:revision>16</cp:revision>
  <cp:lastPrinted>2021-06-24T12:42:00Z</cp:lastPrinted>
  <dcterms:created xsi:type="dcterms:W3CDTF">2021-11-01T09:53:00Z</dcterms:created>
  <dcterms:modified xsi:type="dcterms:W3CDTF">2021-11-09T13:08:00Z</dcterms:modified>
</cp:coreProperties>
</file>