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069CA23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3E5C4861" w:rsidR="00CC3B0A" w:rsidRPr="00224F8A" w:rsidRDefault="00CC3B0A" w:rsidP="009D58E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46EB43DC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2E37C7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045453">
        <w:tc>
          <w:tcPr>
            <w:tcW w:w="9634" w:type="dxa"/>
            <w:vAlign w:val="center"/>
          </w:tcPr>
          <w:p w14:paraId="0C58A404" w14:textId="7EE00EC9" w:rsidR="00CF4FA1" w:rsidRPr="00CF4FA1" w:rsidRDefault="00515F5D" w:rsidP="00CF4FA1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5151E4">
              <w:rPr>
                <w:rFonts w:ascii="Verdana" w:hAnsi="Verdana"/>
                <w:sz w:val="18"/>
                <w:szCs w:val="18"/>
              </w:rPr>
              <w:t xml:space="preserve">Нежилое </w:t>
            </w:r>
            <w:r w:rsidR="00CF4FA1">
              <w:rPr>
                <w:rFonts w:ascii="Verdana" w:hAnsi="Verdana"/>
                <w:sz w:val="18"/>
                <w:szCs w:val="18"/>
              </w:rPr>
              <w:t>помещение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общей площадью </w:t>
            </w:r>
            <w:r w:rsidR="00C4318C">
              <w:rPr>
                <w:rFonts w:ascii="Verdana" w:hAnsi="Verdana"/>
                <w:sz w:val="18"/>
                <w:szCs w:val="18"/>
              </w:rPr>
              <w:t>360,4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 кв.м., кадастровый номер </w:t>
            </w:r>
            <w:r w:rsidR="00C4318C">
              <w:rPr>
                <w:rFonts w:ascii="Verdana" w:hAnsi="Verdana" w:cs="TimesNewRomanPS-BoldMT"/>
                <w:bCs/>
                <w:sz w:val="18"/>
                <w:szCs w:val="18"/>
              </w:rPr>
              <w:t>57:26:0010219:1274</w:t>
            </w:r>
            <w:r w:rsidRPr="005151E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D2C7F">
              <w:rPr>
                <w:rFonts w:ascii="Verdana" w:hAnsi="Verdana"/>
                <w:sz w:val="18"/>
                <w:szCs w:val="18"/>
              </w:rPr>
              <w:t xml:space="preserve">этаж № 1, 2, </w:t>
            </w:r>
            <w:r w:rsidR="00CF4FA1">
              <w:rPr>
                <w:rFonts w:ascii="Verdana" w:hAnsi="Verdana"/>
                <w:sz w:val="18"/>
                <w:szCs w:val="18"/>
              </w:rPr>
              <w:t xml:space="preserve">расположенное по адресу: </w:t>
            </w:r>
            <w:r w:rsidR="00C4318C">
              <w:rPr>
                <w:rFonts w:ascii="Verdana" w:hAnsi="Verdana"/>
                <w:sz w:val="18"/>
                <w:szCs w:val="18"/>
              </w:rPr>
              <w:t>Орловская область,г. Ливны, ул. Орджоникидзе, пом. 2</w:t>
            </w:r>
            <w:r w:rsidR="00953BBF">
              <w:rPr>
                <w:rFonts w:ascii="Verdana" w:hAnsi="Verdana"/>
                <w:sz w:val="18"/>
                <w:szCs w:val="18"/>
              </w:rPr>
              <w:t>-</w:t>
            </w:r>
            <w:r w:rsidR="00C4318C">
              <w:rPr>
                <w:rFonts w:ascii="Verdana" w:hAnsi="Verdana"/>
                <w:sz w:val="18"/>
                <w:szCs w:val="18"/>
              </w:rPr>
              <w:t>а</w:t>
            </w:r>
            <w:r w:rsidR="00CF4FA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4FA1" w:rsidRPr="008509DF">
              <w:rPr>
                <w:rFonts w:ascii="Verdana" w:hAnsi="Verdana"/>
              </w:rPr>
              <w:t>(далее имен</w:t>
            </w:r>
            <w:r w:rsidR="00045453">
              <w:rPr>
                <w:rFonts w:ascii="Verdana" w:hAnsi="Verdana"/>
              </w:rPr>
              <w:t>уемое – «недвижимое имущество»).</w:t>
            </w:r>
          </w:p>
          <w:p w14:paraId="7222B59C" w14:textId="7EC23952" w:rsidR="00515F5D" w:rsidRPr="00CF4FA1" w:rsidRDefault="00953BBF" w:rsidP="00045453">
            <w:pPr>
              <w:jc w:val="both"/>
              <w:rPr>
                <w:rFonts w:ascii="Verdana" w:hAnsi="Verdana"/>
                <w:i/>
                <w:color w:val="0070C0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      </w:r>
          </w:p>
        </w:tc>
      </w:tr>
      <w:tr w:rsidR="00515F5D" w:rsidRPr="00645BF6" w14:paraId="6C644CC2" w14:textId="77777777" w:rsidTr="0004545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4B8F995B" w:rsidR="00AF721D" w:rsidRDefault="00AF721D" w:rsidP="00AA43D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 xml:space="preserve">1.2. </w:t>
            </w:r>
            <w:r w:rsidR="00715CF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15F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ежилое помещение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550F6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______________________________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AA43D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A43D2">
              <w:rPr>
                <w:rFonts w:ascii="Verdana" w:hAnsi="Verdana"/>
                <w:i/>
                <w:color w:val="0070C0"/>
                <w:sz w:val="20"/>
                <w:szCs w:val="20"/>
              </w:rPr>
              <w:t>№ 57-01/01-77/2004-447</w:t>
            </w:r>
            <w:r w:rsidR="00AA43D2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AA43D2">
              <w:rPr>
                <w:rFonts w:ascii="Verdana" w:hAnsi="Verdana"/>
                <w:i/>
                <w:color w:val="0070C0"/>
                <w:sz w:val="20"/>
                <w:szCs w:val="20"/>
              </w:rPr>
              <w:t>22.12.2004</w:t>
            </w:r>
            <w:r w:rsidR="00AA43D2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C4318C">
              <w:rPr>
                <w:rFonts w:ascii="Verdana" w:hAnsi="Verdana"/>
                <w:i/>
                <w:color w:val="0070C0"/>
                <w:sz w:val="20"/>
                <w:szCs w:val="20"/>
              </w:rPr>
              <w:t>12.10</w:t>
            </w:r>
            <w:r w:rsidR="00CF4FA1">
              <w:rPr>
                <w:rFonts w:ascii="Verdana" w:hAnsi="Verdana"/>
                <w:i/>
                <w:color w:val="0070C0"/>
                <w:sz w:val="20"/>
                <w:szCs w:val="20"/>
              </w:rPr>
              <w:t>.2021</w:t>
            </w:r>
            <w:r w:rsidR="00515F5D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№ </w:t>
            </w:r>
            <w:r w:rsidR="00C4318C">
              <w:rPr>
                <w:rFonts w:ascii="Verdana" w:hAnsi="Verdana"/>
                <w:i/>
                <w:color w:val="0070C0"/>
                <w:sz w:val="20"/>
                <w:szCs w:val="20"/>
              </w:rPr>
              <w:t>99/2021/423196146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4D76ED8F" w14:textId="03687C26" w:rsidR="00367ED6" w:rsidRDefault="00F93C5E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2D4334FB" w:rsidR="00950FF3" w:rsidRPr="00FC2688" w:rsidRDefault="00950FF3" w:rsidP="0004545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</w:t>
      </w:r>
      <w:r w:rsidR="00CF4FA1">
        <w:rPr>
          <w:rFonts w:ascii="Verdana" w:hAnsi="Verdana"/>
        </w:rPr>
        <w:t xml:space="preserve"> </w:t>
      </w:r>
      <w:r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Pr="00FC2688">
        <w:rPr>
          <w:rFonts w:ascii="Verdana" w:hAnsi="Verdana"/>
        </w:rPr>
        <w:t>)</w:t>
      </w:r>
      <w:r w:rsidR="00045453">
        <w:rPr>
          <w:rFonts w:ascii="Verdana" w:hAnsi="Verdana"/>
        </w:rPr>
        <w:t>.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lastRenderedPageBreak/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25FEE923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</w:t>
            </w:r>
            <w:r w:rsidR="00045453">
              <w:rPr>
                <w:rFonts w:ascii="Verdana" w:hAnsi="Verdana"/>
              </w:rPr>
              <w:t xml:space="preserve">ля участия в аукционе в размере </w:t>
            </w:r>
            <w:r w:rsidR="00C4318C">
              <w:rPr>
                <w:rFonts w:ascii="Verdana" w:hAnsi="Verdana"/>
              </w:rPr>
              <w:t>393 000</w:t>
            </w:r>
            <w:r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C4318C">
              <w:rPr>
                <w:rFonts w:ascii="Verdana" w:hAnsi="Verdana"/>
                <w:i/>
                <w:color w:val="0070C0"/>
              </w:rPr>
              <w:t>Триста девяносто три тысячи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045453">
              <w:rPr>
                <w:rFonts w:ascii="Verdana" w:hAnsi="Verdana"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45453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</w:rPr>
              <w:t>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</w:t>
            </w:r>
            <w:r>
              <w:rPr>
                <w:sz w:val="18"/>
                <w:szCs w:val="18"/>
              </w:rPr>
              <w:lastRenderedPageBreak/>
              <w:t xml:space="preserve">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  <w:bookmarkStart w:id="0" w:name="_GoBack"/>
            <w:bookmarkEnd w:id="0"/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550F6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0887A1F4" w:rsidR="00073672" w:rsidRPr="001C1460" w:rsidRDefault="00C73E98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251D8EF1" w:rsidR="00566401" w:rsidRDefault="00C73E98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0D067C7E" w:rsidR="00CC3B0A" w:rsidRPr="00CC3B0A" w:rsidRDefault="00CC3B0A" w:rsidP="0035103D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727E96A9" w14:textId="77777777" w:rsidR="008463A4" w:rsidRPr="00CF4FA1" w:rsidRDefault="00515F5D" w:rsidP="008463A4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45453">
              <w:t xml:space="preserve"> </w:t>
            </w:r>
            <w:r w:rsidR="00C4318C" w:rsidRPr="00C4318C">
              <w:rPr>
                <w:rFonts w:ascii="Verdana" w:hAnsi="Verdana"/>
                <w:sz w:val="18"/>
                <w:szCs w:val="18"/>
              </w:rPr>
              <w:t>-</w:t>
            </w:r>
            <w:r w:rsidR="00C4318C" w:rsidRPr="00C4318C">
              <w:rPr>
                <w:rFonts w:ascii="Verdana" w:hAnsi="Verdana"/>
                <w:sz w:val="18"/>
                <w:szCs w:val="18"/>
              </w:rPr>
              <w:tab/>
              <w:t xml:space="preserve">Нежилое помещение, общей площадью 360,4 кв.м., кадастровый номер 57:26:0010219:1274, </w:t>
            </w:r>
            <w:r w:rsidR="008463A4">
              <w:rPr>
                <w:rFonts w:ascii="Verdana" w:hAnsi="Verdana"/>
                <w:sz w:val="18"/>
                <w:szCs w:val="18"/>
              </w:rPr>
              <w:t xml:space="preserve">этаж № 1, 2, расположенное по адресу: Орловская область,г. Ливны, ул. Орджоникидзе, пом. 2-а </w:t>
            </w:r>
            <w:r w:rsidR="008463A4" w:rsidRPr="008509DF">
              <w:rPr>
                <w:rFonts w:ascii="Verdana" w:hAnsi="Verdana"/>
              </w:rPr>
              <w:t>(далее имен</w:t>
            </w:r>
            <w:r w:rsidR="008463A4">
              <w:rPr>
                <w:rFonts w:ascii="Verdana" w:hAnsi="Verdana"/>
              </w:rPr>
              <w:t>уемое – «недвижимое имущество»).</w:t>
            </w:r>
          </w:p>
          <w:p w14:paraId="0E71336F" w14:textId="1F1833EE" w:rsidR="00515F5D" w:rsidRDefault="008463A4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04E4FFA0" w14:textId="77777777" w:rsidR="00F47C27" w:rsidRPr="00DE4A80" w:rsidDel="00F47C2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F47C27" w:rsidRPr="0055668A" w14:paraId="279F2C58" w14:textId="77777777" w:rsidTr="00671A99">
        <w:tc>
          <w:tcPr>
            <w:tcW w:w="2411" w:type="dxa"/>
            <w:shd w:val="clear" w:color="auto" w:fill="auto"/>
          </w:tcPr>
          <w:p w14:paraId="602F43F0" w14:textId="77777777" w:rsidR="00F47C27" w:rsidRPr="0055668A" w:rsidRDefault="00F47C2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04E2B7A" w14:textId="77777777" w:rsidR="00F47C27" w:rsidRPr="0055668A" w:rsidRDefault="00F47C2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21E6A045" w14:textId="77777777" w:rsidR="00F47C27" w:rsidRPr="0055668A" w:rsidRDefault="00F47C27" w:rsidP="00671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F47C27" w:rsidRPr="0055668A" w14:paraId="41582809" w14:textId="77777777" w:rsidTr="00671A99">
        <w:tc>
          <w:tcPr>
            <w:tcW w:w="2411" w:type="dxa"/>
            <w:shd w:val="clear" w:color="auto" w:fill="auto"/>
          </w:tcPr>
          <w:p w14:paraId="2074E511" w14:textId="77777777" w:rsidR="00F47C27" w:rsidRPr="0055668A" w:rsidRDefault="00F47C2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3F848063" w14:textId="77777777" w:rsidR="00F47C27" w:rsidRPr="0055668A" w:rsidRDefault="00F47C27" w:rsidP="00671A9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93E2D2E" w14:textId="77777777" w:rsidR="00F47C27" w:rsidRPr="0055668A" w:rsidRDefault="00F47C27" w:rsidP="00671A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14BEBC33" w:rsidR="00686D08" w:rsidRPr="00A550F6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8C6DE47" w14:textId="77777777" w:rsidR="00D23BCE" w:rsidRPr="00D23BCE" w:rsidRDefault="00D23BCE" w:rsidP="00D23B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23BCE">
        <w:rPr>
          <w:rFonts w:ascii="Verdana" w:hAnsi="Verdana" w:cs="Verdana"/>
          <w:color w:val="000000"/>
          <w:sz w:val="18"/>
          <w:szCs w:val="18"/>
        </w:rPr>
        <w:t>Банк-эмитент по аккредитиву - из топ-30 по объему капитала (прим: рейтинг доступен по ссылке: http://vid1.rian.ru/ig/ratings/banki</w:t>
      </w:r>
    </w:p>
    <w:p w14:paraId="7446AD37" w14:textId="77777777" w:rsidR="00D23BCE" w:rsidRPr="000C2791" w:rsidRDefault="00D23BCE" w:rsidP="00A550F6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D516" w14:textId="77777777" w:rsidR="00E940CE" w:rsidRDefault="00E940CE" w:rsidP="00E33D4F">
      <w:pPr>
        <w:spacing w:after="0" w:line="240" w:lineRule="auto"/>
      </w:pPr>
      <w:r>
        <w:separator/>
      </w:r>
    </w:p>
  </w:endnote>
  <w:endnote w:type="continuationSeparator" w:id="0">
    <w:p w14:paraId="2ED47A75" w14:textId="77777777" w:rsidR="00E940CE" w:rsidRDefault="00E940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77A944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F6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36F5" w14:textId="77777777" w:rsidR="00E940CE" w:rsidRDefault="00E940CE" w:rsidP="00E33D4F">
      <w:pPr>
        <w:spacing w:after="0" w:line="240" w:lineRule="auto"/>
      </w:pPr>
      <w:r>
        <w:separator/>
      </w:r>
    </w:p>
  </w:footnote>
  <w:footnote w:type="continuationSeparator" w:id="0">
    <w:p w14:paraId="24764688" w14:textId="77777777" w:rsidR="00E940CE" w:rsidRDefault="00E940C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37C7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03D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3A4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3BBF"/>
    <w:rsid w:val="009564FC"/>
    <w:rsid w:val="0095727C"/>
    <w:rsid w:val="0096008A"/>
    <w:rsid w:val="009604C2"/>
    <w:rsid w:val="00966EC8"/>
    <w:rsid w:val="0097017F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58EB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50F6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43D2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052C9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2C7F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318C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3E98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3BCE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0CE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47C27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3C5E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FC11-0873-4971-ADF9-774ABD16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Борщевич Марина Андреевна</cp:lastModifiedBy>
  <cp:revision>16</cp:revision>
  <cp:lastPrinted>2021-06-24T12:42:00Z</cp:lastPrinted>
  <dcterms:created xsi:type="dcterms:W3CDTF">2021-11-01T10:11:00Z</dcterms:created>
  <dcterms:modified xsi:type="dcterms:W3CDTF">2021-11-09T14:05:00Z</dcterms:modified>
</cp:coreProperties>
</file>