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76A40BCB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9B77B8" w:rsidRPr="00714424">
        <w:rPr>
          <w:bCs/>
          <w:i/>
          <w:szCs w:val="24"/>
        </w:rPr>
        <w:t>(</w:t>
      </w:r>
      <w:r w:rsidR="009B77B8" w:rsidRPr="001B6FB0">
        <w:rPr>
          <w:bCs/>
          <w:i/>
          <w:szCs w:val="24"/>
        </w:rPr>
        <w:t>фамилия, имя, отчество</w:t>
      </w:r>
      <w:r w:rsidR="009B77B8" w:rsidRPr="00714424">
        <w:rPr>
          <w:bCs/>
          <w:szCs w:val="24"/>
        </w:rPr>
        <w:t>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9B77B8" w:rsidRPr="001B6FB0">
        <w:rPr>
          <w:bCs/>
          <w:i/>
          <w:szCs w:val="24"/>
        </w:rPr>
        <w:t>(</w:t>
      </w:r>
      <w:r w:rsidR="009B77B8" w:rsidRPr="00714424">
        <w:rPr>
          <w:bCs/>
          <w:i/>
          <w:szCs w:val="24"/>
        </w:rPr>
        <w:t>документ, подтверждающи</w:t>
      </w:r>
      <w:r w:rsidR="009B77B8">
        <w:rPr>
          <w:bCs/>
          <w:i/>
          <w:szCs w:val="24"/>
        </w:rPr>
        <w:t>й</w:t>
      </w:r>
      <w:r w:rsidR="009B77B8" w:rsidRPr="00714424">
        <w:rPr>
          <w:bCs/>
          <w:i/>
          <w:szCs w:val="24"/>
        </w:rPr>
        <w:t xml:space="preserve"> полномочия)</w:t>
      </w:r>
      <w:r w:rsidR="009B77B8">
        <w:rPr>
          <w:b/>
          <w:bCs/>
          <w:szCs w:val="24"/>
        </w:rPr>
        <w:t xml:space="preserve">, </w:t>
      </w:r>
      <w:r w:rsidR="00CF4DCA" w:rsidRPr="00350A1A">
        <w:rPr>
          <w:rFonts w:eastAsia="Times New Roman"/>
          <w:lang w:eastAsia="ru-RU"/>
        </w:rPr>
        <w:t xml:space="preserve">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6DBE207D" w:rsidR="00AF1619" w:rsidRPr="00714424" w:rsidRDefault="00C1218C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(победитель</w:t>
      </w:r>
      <w:r>
        <w:rPr>
          <w:bCs/>
          <w:i/>
          <w:szCs w:val="24"/>
        </w:rPr>
        <w:t xml:space="preserve"> </w:t>
      </w:r>
      <w:r w:rsidRPr="0052397D">
        <w:rPr>
          <w:bCs/>
          <w:i/>
          <w:szCs w:val="24"/>
        </w:rPr>
        <w:t xml:space="preserve">торгов по продаже имущества посредством публичного предложения </w:t>
      </w:r>
      <w:r>
        <w:rPr>
          <w:bCs/>
          <w:i/>
          <w:szCs w:val="24"/>
        </w:rPr>
        <w:t xml:space="preserve">- </w:t>
      </w:r>
      <w:r w:rsidRPr="001B6FB0">
        <w:rPr>
          <w:bCs/>
          <w:i/>
          <w:szCs w:val="24"/>
        </w:rPr>
        <w:t>полное наименовани</w:t>
      </w:r>
      <w:r>
        <w:rPr>
          <w:bCs/>
          <w:i/>
          <w:szCs w:val="24"/>
        </w:rPr>
        <w:t>е</w:t>
      </w:r>
      <w:r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>
        <w:rPr>
          <w:bCs/>
          <w:szCs w:val="24"/>
        </w:rPr>
        <w:t xml:space="preserve"> (-</w:t>
      </w:r>
      <w:proofErr w:type="spellStart"/>
      <w:r>
        <w:rPr>
          <w:bCs/>
          <w:szCs w:val="24"/>
        </w:rPr>
        <w:t>ый</w:t>
      </w:r>
      <w:proofErr w:type="spellEnd"/>
      <w:r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>
        <w:rPr>
          <w:b/>
          <w:szCs w:val="24"/>
        </w:rPr>
        <w:t>Покупатель»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 xml:space="preserve">(уполномоченное лицо победителя </w:t>
      </w:r>
      <w:r w:rsidRPr="0052397D">
        <w:rPr>
          <w:bCs/>
          <w:i/>
          <w:szCs w:val="24"/>
        </w:rPr>
        <w:t>торгов по продаже имущества посредством публичного предложения</w:t>
      </w:r>
      <w:r w:rsidRPr="00714424">
        <w:rPr>
          <w:bCs/>
          <w:i/>
          <w:szCs w:val="24"/>
        </w:rPr>
        <w:t>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="00AF1619" w:rsidRPr="00714424">
        <w:rPr>
          <w:bCs/>
          <w:szCs w:val="24"/>
        </w:rPr>
        <w:t>действующ</w:t>
      </w:r>
      <w:r w:rsidR="00AF1619">
        <w:rPr>
          <w:bCs/>
          <w:szCs w:val="24"/>
        </w:rPr>
        <w:t>его</w:t>
      </w:r>
      <w:r w:rsidR="00AF1619" w:rsidRPr="00714424">
        <w:rPr>
          <w:bCs/>
          <w:szCs w:val="24"/>
        </w:rPr>
        <w:t xml:space="preserve"> на основании</w:t>
      </w:r>
      <w:r w:rsidR="00AF1619"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="00AF1619"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="00AF1619" w:rsidRPr="00714424">
        <w:rPr>
          <w:bCs/>
          <w:i/>
          <w:szCs w:val="24"/>
        </w:rPr>
        <w:t xml:space="preserve"> полномочия)</w:t>
      </w:r>
      <w:r w:rsidR="00AF1619" w:rsidRPr="00714424">
        <w:rPr>
          <w:b/>
          <w:bCs/>
          <w:szCs w:val="24"/>
        </w:rPr>
        <w:t xml:space="preserve"> </w:t>
      </w:r>
      <w:r w:rsidR="00AF1619" w:rsidRPr="00714424">
        <w:rPr>
          <w:bCs/>
          <w:szCs w:val="24"/>
        </w:rPr>
        <w:t>с другой стороны</w:t>
      </w:r>
      <w:r w:rsidR="00AF1619" w:rsidRPr="00714424">
        <w:rPr>
          <w:szCs w:val="24"/>
        </w:rPr>
        <w:t xml:space="preserve">, далее совместно именуемые </w:t>
      </w:r>
      <w:r w:rsidR="00AF1619">
        <w:rPr>
          <w:b/>
          <w:szCs w:val="24"/>
        </w:rPr>
        <w:t>«</w:t>
      </w:r>
      <w:r w:rsidR="00AF1619" w:rsidRPr="00714424">
        <w:rPr>
          <w:b/>
          <w:szCs w:val="24"/>
        </w:rPr>
        <w:t>Стороны</w:t>
      </w:r>
      <w:r w:rsidR="00AF1619">
        <w:rPr>
          <w:b/>
          <w:szCs w:val="24"/>
        </w:rPr>
        <w:t>»</w:t>
      </w:r>
      <w:r w:rsidR="00AF1619"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1F8D7AC9" w14:textId="77777777" w:rsidR="00C1218C" w:rsidRDefault="00AF1619" w:rsidP="00C1218C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C1218C"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 торгов по продаже имущества посредством публичного предложения в электронной форме, в соответствии со ст. 448 ГК РФ, ст. ст. 110, 111, 139, 140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="00C1218C"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 w:rsidR="00C1218C">
        <w:rPr>
          <w:rFonts w:ascii="Times New Roman" w:hAnsi="Times New Roman"/>
          <w:sz w:val="24"/>
          <w:szCs w:val="24"/>
        </w:rPr>
        <w:t>№</w:t>
      </w:r>
      <w:r w:rsidR="00C1218C"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 w:rsidR="00C1218C">
        <w:rPr>
          <w:rFonts w:ascii="Times New Roman" w:hAnsi="Times New Roman"/>
          <w:sz w:val="24"/>
          <w:szCs w:val="24"/>
        </w:rPr>
        <w:t xml:space="preserve"> России» (далее - Приказ № 495). Покупатель признан победителем </w:t>
      </w:r>
      <w:r w:rsidR="00C1218C" w:rsidRPr="0052397D">
        <w:rPr>
          <w:rFonts w:ascii="Times New Roman" w:hAnsi="Times New Roman"/>
          <w:sz w:val="24"/>
          <w:szCs w:val="24"/>
        </w:rPr>
        <w:t xml:space="preserve">торгов по продаже имущества посредством публичного предложения </w:t>
      </w:r>
      <w:r w:rsidR="00C1218C">
        <w:rPr>
          <w:rFonts w:ascii="Times New Roman" w:hAnsi="Times New Roman"/>
          <w:sz w:val="24"/>
          <w:szCs w:val="24"/>
        </w:rPr>
        <w:t>согласно протоколу № _____ от __. __. 2021 года.</w:t>
      </w:r>
    </w:p>
    <w:p w14:paraId="774C061F" w14:textId="765E6D21" w:rsidR="00CA4EEB" w:rsidRPr="00714424" w:rsidRDefault="00CA4EEB" w:rsidP="00C1218C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6EFB4C44" w14:textId="77777777" w:rsidR="00C1218C" w:rsidRDefault="00C1218C" w:rsidP="00C1218C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Pr="00B6338D">
        <w:rPr>
          <w:rStyle w:val="a8"/>
        </w:rPr>
        <w:t xml:space="preserve"> 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Pr="00B6338D">
        <w:rPr>
          <w:rStyle w:val="a8"/>
        </w:rPr>
        <w:t xml:space="preserve"> 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результатам торгов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по продаже имущества посредством публичного предложения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), из которой: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lastRenderedPageBreak/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367FEF50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1C6F22">
        <w:rPr>
          <w:rFonts w:ascii="Times New Roman" w:hAnsi="Times New Roman"/>
          <w:sz w:val="24"/>
          <w:szCs w:val="24"/>
        </w:rPr>
        <w:t>Имущество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4D70864E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0DD29C9" w14:textId="779A37E9" w:rsidR="001E7F67" w:rsidRDefault="001E7F67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25FE4A5" w14:textId="77777777" w:rsidR="001E7F67" w:rsidRPr="00AC6248" w:rsidRDefault="001E7F67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3D694D74" w14:textId="42F928B6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</w:t>
      </w:r>
      <w:r w:rsidR="00C1218C" w:rsidRPr="00C1218C">
        <w:rPr>
          <w:rFonts w:ascii="Times New Roman" w:hAnsi="Times New Roman"/>
          <w:sz w:val="24"/>
          <w:szCs w:val="24"/>
        </w:rPr>
        <w:t>в Арбитражном суде города Санкт-Петербурга и Ленинградской области в суде по месту нахождения организатора торгов по продаже имущества посредством публичного предложения 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исключительной подсудности споров. Указанное условие сохраняет свою силу в том числе в случае признания настоящего договора недействительным или незаключенным.</w:t>
      </w:r>
    </w:p>
    <w:p w14:paraId="6B9B996B" w14:textId="77777777" w:rsidR="00C1218C" w:rsidRPr="00714424" w:rsidRDefault="00C1218C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8"/>
      <w:headerReference w:type="first" r:id="rId9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648748F5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1E7F67">
          <w:rPr>
            <w:noProof/>
            <w:sz w:val="20"/>
            <w:szCs w:val="20"/>
          </w:rPr>
          <w:t>1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1E7F67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1E7F67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C6F22"/>
    <w:rsid w:val="001D6477"/>
    <w:rsid w:val="001E7F6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B04AD"/>
    <w:rsid w:val="005D1F43"/>
    <w:rsid w:val="00615A13"/>
    <w:rsid w:val="006A7000"/>
    <w:rsid w:val="006E003B"/>
    <w:rsid w:val="00772A6F"/>
    <w:rsid w:val="00787DDE"/>
    <w:rsid w:val="007B27E0"/>
    <w:rsid w:val="007B4F24"/>
    <w:rsid w:val="007C6967"/>
    <w:rsid w:val="00802172"/>
    <w:rsid w:val="00870D4C"/>
    <w:rsid w:val="009140A5"/>
    <w:rsid w:val="00923AFF"/>
    <w:rsid w:val="00984781"/>
    <w:rsid w:val="009B77B8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218C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881C5-7382-4F37-9BAC-24B5D9DBE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F4D15-A6C8-4F37-B4A3-93E8AC883ABD}"/>
</file>

<file path=customXml/itemProps3.xml><?xml version="1.0" encoding="utf-8"?>
<ds:datastoreItem xmlns:ds="http://schemas.openxmlformats.org/officeDocument/2006/customXml" ds:itemID="{392D1394-722F-4692-9E34-5197A62A9979}"/>
</file>

<file path=customXml/itemProps4.xml><?xml version="1.0" encoding="utf-8"?>
<ds:datastoreItem xmlns:ds="http://schemas.openxmlformats.org/officeDocument/2006/customXml" ds:itemID="{63F07EA7-EA26-49BE-9656-8F530D125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Irina Budkina</cp:lastModifiedBy>
  <cp:revision>11</cp:revision>
  <cp:lastPrinted>2021-02-01T17:53:00Z</cp:lastPrinted>
  <dcterms:created xsi:type="dcterms:W3CDTF">2021-02-01T18:21:00Z</dcterms:created>
  <dcterms:modified xsi:type="dcterms:W3CDTF">2021-11-08T12:16:00Z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