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F431A89" w:rsidR="001D7929" w:rsidRPr="00224F8A" w:rsidRDefault="00411744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1D7929" w:rsidRPr="00224F8A">
        <w:rPr>
          <w:rFonts w:ascii="Verdana" w:hAnsi="Verdana"/>
          <w:b/>
          <w:sz w:val="20"/>
        </w:rPr>
        <w:t>)</w:t>
      </w:r>
      <w:r w:rsidR="009C2119">
        <w:rPr>
          <w:rFonts w:ascii="Verdana" w:hAnsi="Verdana"/>
          <w:b/>
          <w:sz w:val="20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C89E6B4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EB890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5620C745" w14:textId="7FB82350" w:rsidR="00F56FF3" w:rsidRPr="008509DF" w:rsidRDefault="00AF72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F132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итогам процедуры торгов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9C2119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5FE1CE2B" w14:textId="10461D9E" w:rsidR="00AF721D" w:rsidRDefault="00DE4A80" w:rsidP="00430F0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Земельный участок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атегория земель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иды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разрешенного использования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Для сельскохозяйственного производства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расположенн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ый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адресу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установлено относительно ориентира, расположенного</w:t>
            </w:r>
            <w:r w:rsid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за пределами участка. Ориентир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Юго-западная окраина п.</w:t>
            </w:r>
            <w:r w:rsidR="00BA458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Новоселки. Участок наход</w:t>
            </w:r>
            <w:r w:rsid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ится примерно в от ориентира по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направлению на Участок находится примерно в 40 м,</w:t>
            </w:r>
            <w:r w:rsid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направлению на юго-запад от </w:t>
            </w:r>
            <w:r w:rsidR="00BA458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ориентира.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Почтовый адрес ориентира: обл. Московская, р-н Каширский, п. Новоселки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50:37:0000000:131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220</w:t>
            </w:r>
            <w:r w:rsid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30F0B" w:rsidRPr="00430F0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450 кв. м </w:t>
            </w:r>
            <w:r w:rsid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далее – «</w:t>
            </w:r>
            <w:r w:rsidR="002355A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Недвижимое имущество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  <w:r w:rsidR="009C211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22B59C" w14:textId="6E341A4C" w:rsidR="009C2119" w:rsidRPr="00411744" w:rsidRDefault="009C2119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0D4ED" w14:textId="3A2D6449" w:rsidR="00AF721D" w:rsidRDefault="00AF721D" w:rsidP="009C21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C2119">
        <w:trPr>
          <w:trHeight w:val="1276"/>
        </w:trPr>
        <w:tc>
          <w:tcPr>
            <w:tcW w:w="9634" w:type="dxa"/>
          </w:tcPr>
          <w:p w14:paraId="0647610F" w14:textId="399FA7CE" w:rsidR="00AF721D" w:rsidRPr="008509DF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9C2119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 w:rsidR="002D1FC8"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="002D1FC8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о </w:t>
            </w:r>
            <w:r w:rsidR="000B60D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государственной </w:t>
            </w:r>
            <w:r w:rsidR="002D1FC8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регистрации</w:t>
            </w:r>
            <w:r w:rsidR="000B60D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права </w:t>
            </w:r>
            <w:r w:rsidR="002D1FC8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430F0B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430F0B" w:rsidRPr="00430F0B">
              <w:rPr>
                <w:rFonts w:ascii="Verdana" w:hAnsi="Verdana"/>
                <w:color w:val="000000" w:themeColor="text1"/>
                <w:sz w:val="20"/>
                <w:szCs w:val="20"/>
              </w:rPr>
              <w:t>№ 50:37:0000000:131-50/001/2020-3 от 08.06.2020</w:t>
            </w:r>
            <w:r w:rsidR="00430F0B">
              <w:rPr>
                <w:rFonts w:ascii="Verdana" w:hAnsi="Verdana"/>
                <w:color w:val="000000" w:themeColor="text1"/>
                <w:sz w:val="20"/>
                <w:szCs w:val="20"/>
              </w:rPr>
              <w:t>г</w:t>
            </w:r>
            <w:r w:rsidR="00F1328F">
              <w:rPr>
                <w:rFonts w:ascii="Verdana" w:hAnsi="Verdana"/>
                <w:color w:val="000000" w:themeColor="text1"/>
                <w:sz w:val="20"/>
                <w:szCs w:val="20"/>
              </w:rPr>
              <w:t>.,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</w:t>
            </w:r>
            <w:r w:rsidR="00430F0B">
              <w:rPr>
                <w:rFonts w:ascii="Verdana" w:hAnsi="Verdana"/>
                <w:color w:val="000000" w:themeColor="text1"/>
                <w:sz w:val="20"/>
                <w:szCs w:val="20"/>
              </w:rPr>
              <w:t>07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.04.2021 </w:t>
            </w:r>
            <w:r w:rsidR="00430F0B" w:rsidRPr="00430F0B">
              <w:rPr>
                <w:rFonts w:ascii="Verdana" w:hAnsi="Verdana"/>
                <w:color w:val="000000" w:themeColor="text1"/>
                <w:sz w:val="20"/>
                <w:szCs w:val="20"/>
              </w:rPr>
              <w:t>№ 99/2021/385546655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7B632150" w14:textId="473BC0D9" w:rsidR="00AF721D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58FFF8D" w14:textId="23D84482" w:rsidR="009C2119" w:rsidRPr="008509DF" w:rsidRDefault="009C2119" w:rsidP="009C2119">
      <w:pPr>
        <w:pStyle w:val="ConsNormal"/>
        <w:widowControl/>
        <w:tabs>
          <w:tab w:val="left" w:pos="1417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BA4584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lastRenderedPageBreak/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2EDEA90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149B3FDE" w:rsidR="00434052" w:rsidRPr="008509DF" w:rsidRDefault="00434052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665F198C" w:rsidR="0034333C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W w:w="9555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434052" w:rsidRPr="00224F8A" w14:paraId="5075BA69" w14:textId="77777777" w:rsidTr="00BA4584">
        <w:trPr>
          <w:trHeight w:val="708"/>
        </w:trPr>
        <w:tc>
          <w:tcPr>
            <w:tcW w:w="9555" w:type="dxa"/>
            <w:shd w:val="clear" w:color="auto" w:fill="auto"/>
          </w:tcPr>
          <w:p w14:paraId="61765BD7" w14:textId="3CF54E8C" w:rsidR="00434052" w:rsidRDefault="00434052" w:rsidP="00C22F7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, права на недвижимое имущество не явл</w:t>
            </w:r>
            <w:r>
              <w:rPr>
                <w:rFonts w:ascii="Verdana" w:hAnsi="Verdana"/>
              </w:rPr>
              <w:t xml:space="preserve">яются предметом судебного спора, </w:t>
            </w:r>
            <w:r w:rsidR="003A4CD7" w:rsidRPr="003A4CD7">
              <w:rPr>
                <w:rFonts w:ascii="Verdana" w:hAnsi="Verdana"/>
              </w:rPr>
              <w:t xml:space="preserve">не обременено правами третьих лиц </w:t>
            </w:r>
            <w:r w:rsidR="003A4CD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за исключением обременения ввиду: </w:t>
            </w:r>
          </w:p>
          <w:p w14:paraId="57B272B7" w14:textId="77777777" w:rsidR="00434052" w:rsidRDefault="00563B4E" w:rsidP="00430F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34052">
              <w:rPr>
                <w:sz w:val="20"/>
                <w:szCs w:val="20"/>
              </w:rPr>
              <w:t>.</w:t>
            </w:r>
            <w:r w:rsidR="0019614B" w:rsidRPr="0019614B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9614B" w:rsidRPr="0019614B">
              <w:rPr>
                <w:sz w:val="20"/>
                <w:szCs w:val="20"/>
              </w:rPr>
              <w:t>Ограничения прав на земельный участок</w:t>
            </w:r>
            <w:r w:rsidR="00430F0B">
              <w:rPr>
                <w:sz w:val="20"/>
                <w:szCs w:val="20"/>
              </w:rPr>
              <w:t>:</w:t>
            </w:r>
          </w:p>
          <w:p w14:paraId="02609373" w14:textId="678414BC" w:rsidR="00430F0B" w:rsidRDefault="00430F0B" w:rsidP="00430F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430F0B">
              <w:rPr>
                <w:sz w:val="20"/>
                <w:szCs w:val="20"/>
              </w:rPr>
              <w:t>Ограничения прав на земельный участок, предусмотренн</w:t>
            </w:r>
            <w:r>
              <w:rPr>
                <w:sz w:val="20"/>
                <w:szCs w:val="20"/>
              </w:rPr>
              <w:t xml:space="preserve">ые статьями 56, 56.1 Земельного </w:t>
            </w:r>
            <w:r w:rsidRPr="00430F0B">
              <w:rPr>
                <w:sz w:val="20"/>
                <w:szCs w:val="20"/>
              </w:rPr>
              <w:t>кодекса Российской Федерации, 50.00.2.395, Постановление "Об утв</w:t>
            </w:r>
            <w:r>
              <w:rPr>
                <w:sz w:val="20"/>
                <w:szCs w:val="20"/>
              </w:rPr>
              <w:t xml:space="preserve">ерждении правил </w:t>
            </w:r>
            <w:r w:rsidRPr="00430F0B">
              <w:rPr>
                <w:sz w:val="20"/>
                <w:szCs w:val="20"/>
              </w:rPr>
              <w:t>охраны электрических сетей напряжением свыше 1000 вольт" № 255 от 26.03.1984</w:t>
            </w:r>
            <w:r w:rsidR="00996C30">
              <w:rPr>
                <w:sz w:val="20"/>
                <w:szCs w:val="20"/>
              </w:rPr>
              <w:t xml:space="preserve"> ( учетный номер части 1, площадь 120004 кв.м.)</w:t>
            </w:r>
            <w:r>
              <w:rPr>
                <w:sz w:val="20"/>
                <w:szCs w:val="20"/>
              </w:rPr>
              <w:t>;</w:t>
            </w:r>
          </w:p>
          <w:p w14:paraId="090EFB77" w14:textId="22D28BC2" w:rsidR="00430F0B" w:rsidRDefault="00430F0B" w:rsidP="00430F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430F0B">
              <w:rPr>
                <w:sz w:val="20"/>
                <w:szCs w:val="20"/>
              </w:rPr>
              <w:t>Ограничения прав на земельный участок, предусмотренн</w:t>
            </w:r>
            <w:r>
              <w:rPr>
                <w:sz w:val="20"/>
                <w:szCs w:val="20"/>
              </w:rPr>
              <w:t xml:space="preserve">ые статьями 56, 56.1 Земельного </w:t>
            </w:r>
            <w:r w:rsidRPr="00430F0B">
              <w:rPr>
                <w:sz w:val="20"/>
                <w:szCs w:val="20"/>
              </w:rPr>
              <w:t>кодекса Российской Федерации, Постановлени</w:t>
            </w:r>
            <w:r>
              <w:rPr>
                <w:sz w:val="20"/>
                <w:szCs w:val="20"/>
              </w:rPr>
              <w:t xml:space="preserve">е "Об утверждении правил охраны </w:t>
            </w:r>
            <w:r w:rsidRPr="00430F0B">
              <w:rPr>
                <w:sz w:val="20"/>
                <w:szCs w:val="20"/>
              </w:rPr>
              <w:t>электрических сетей напряжением свыше 1000 вольт" № 25</w:t>
            </w:r>
            <w:r>
              <w:rPr>
                <w:sz w:val="20"/>
                <w:szCs w:val="20"/>
              </w:rPr>
              <w:t>5 от 26.03.1984, срок действия:</w:t>
            </w:r>
            <w:r w:rsidRPr="00430F0B">
              <w:rPr>
                <w:sz w:val="20"/>
                <w:szCs w:val="20"/>
              </w:rPr>
              <w:t>23.04.2015</w:t>
            </w:r>
            <w:r w:rsidR="00996C30" w:rsidRPr="00996C30">
              <w:rPr>
                <w:sz w:val="20"/>
                <w:szCs w:val="20"/>
              </w:rPr>
              <w:t>( учетный номер части 1, площадь 120004 кв.м.)</w:t>
            </w:r>
            <w:r>
              <w:rPr>
                <w:sz w:val="20"/>
                <w:szCs w:val="20"/>
              </w:rPr>
              <w:t>;</w:t>
            </w:r>
          </w:p>
          <w:p w14:paraId="5F99BB2E" w14:textId="392A309B" w:rsidR="00430F0B" w:rsidRDefault="00430F0B" w:rsidP="00430F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430F0B">
              <w:rPr>
                <w:sz w:val="20"/>
                <w:szCs w:val="20"/>
              </w:rPr>
              <w:t>Ограничения прав на земельный участок, предусмотренн</w:t>
            </w:r>
            <w:r>
              <w:rPr>
                <w:sz w:val="20"/>
                <w:szCs w:val="20"/>
              </w:rPr>
              <w:t xml:space="preserve">ые статьями 56, 56.1 Земельного </w:t>
            </w:r>
            <w:r w:rsidRPr="00430F0B">
              <w:rPr>
                <w:sz w:val="20"/>
                <w:szCs w:val="20"/>
              </w:rPr>
              <w:t>кодекса Российской Федерации, 50.37.2.121, Постано</w:t>
            </w:r>
            <w:r>
              <w:rPr>
                <w:sz w:val="20"/>
                <w:szCs w:val="20"/>
              </w:rPr>
              <w:t xml:space="preserve">вление Правительства Российской </w:t>
            </w:r>
            <w:r w:rsidRPr="00430F0B">
              <w:rPr>
                <w:sz w:val="20"/>
                <w:szCs w:val="20"/>
              </w:rPr>
              <w:t>Федерации "О порядке установления охранных зон объек</w:t>
            </w:r>
            <w:r>
              <w:rPr>
                <w:sz w:val="20"/>
                <w:szCs w:val="20"/>
              </w:rPr>
              <w:t xml:space="preserve">тов электросетевого хозяйства и </w:t>
            </w:r>
            <w:r w:rsidRPr="00430F0B">
              <w:rPr>
                <w:sz w:val="20"/>
                <w:szCs w:val="20"/>
              </w:rPr>
              <w:t>особых условий использования земельных участков, расп</w:t>
            </w:r>
            <w:r>
              <w:rPr>
                <w:sz w:val="20"/>
                <w:szCs w:val="20"/>
              </w:rPr>
              <w:t xml:space="preserve">оложенных в границах таких зон" </w:t>
            </w:r>
            <w:r w:rsidRPr="00430F0B">
              <w:rPr>
                <w:sz w:val="20"/>
                <w:szCs w:val="20"/>
              </w:rPr>
              <w:t>№ 160 от 24.02.2009</w:t>
            </w:r>
            <w:r w:rsidR="00996C30">
              <w:rPr>
                <w:sz w:val="20"/>
                <w:szCs w:val="20"/>
              </w:rPr>
              <w:t>(учетный номер части 2, площадь 27072</w:t>
            </w:r>
            <w:r w:rsidR="00996C30" w:rsidRPr="00996C30">
              <w:rPr>
                <w:sz w:val="20"/>
                <w:szCs w:val="20"/>
              </w:rPr>
              <w:t xml:space="preserve"> кв.м.)</w:t>
            </w:r>
            <w:r>
              <w:rPr>
                <w:sz w:val="20"/>
                <w:szCs w:val="20"/>
              </w:rPr>
              <w:t>;</w:t>
            </w:r>
          </w:p>
          <w:p w14:paraId="406EC7F8" w14:textId="1AF11208" w:rsidR="00430F0B" w:rsidRDefault="00430F0B" w:rsidP="00BA45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="00BA4584" w:rsidRPr="00BA4584">
              <w:rPr>
                <w:sz w:val="20"/>
                <w:szCs w:val="20"/>
              </w:rPr>
              <w:t xml:space="preserve">Ограничения прав на земельный участок, предусмотренные статьями 56, </w:t>
            </w:r>
            <w:r w:rsidR="00BA4584">
              <w:rPr>
                <w:sz w:val="20"/>
                <w:szCs w:val="20"/>
              </w:rPr>
              <w:t xml:space="preserve">56.1 Земельного </w:t>
            </w:r>
            <w:r w:rsidR="00BA4584" w:rsidRPr="00BA4584">
              <w:rPr>
                <w:sz w:val="20"/>
                <w:szCs w:val="20"/>
              </w:rPr>
              <w:t>кодекса Российской Федерации, Постановление Правит</w:t>
            </w:r>
            <w:r w:rsidR="00BA4584">
              <w:rPr>
                <w:sz w:val="20"/>
                <w:szCs w:val="20"/>
              </w:rPr>
              <w:t xml:space="preserve">ельства Российской Федерации "О </w:t>
            </w:r>
            <w:r w:rsidR="00BA4584" w:rsidRPr="00BA4584">
              <w:rPr>
                <w:sz w:val="20"/>
                <w:szCs w:val="20"/>
              </w:rPr>
              <w:t>порядке установления охранных зон объектов электросете</w:t>
            </w:r>
            <w:r w:rsidR="00BA4584">
              <w:rPr>
                <w:sz w:val="20"/>
                <w:szCs w:val="20"/>
              </w:rPr>
              <w:t xml:space="preserve">вого хозяйства и особых условий </w:t>
            </w:r>
            <w:r w:rsidR="00BA4584" w:rsidRPr="00BA4584">
              <w:rPr>
                <w:sz w:val="20"/>
                <w:szCs w:val="20"/>
              </w:rPr>
              <w:t xml:space="preserve">использования земельных участков, расположенных в границах таких зон" № </w:t>
            </w:r>
            <w:r w:rsidR="00BA4584">
              <w:rPr>
                <w:sz w:val="20"/>
                <w:szCs w:val="20"/>
              </w:rPr>
              <w:t xml:space="preserve">160 от </w:t>
            </w:r>
            <w:r w:rsidR="00BA4584" w:rsidRPr="00BA4584">
              <w:rPr>
                <w:sz w:val="20"/>
                <w:szCs w:val="20"/>
              </w:rPr>
              <w:t>24.02.2009, срок действия: 26.08.2015</w:t>
            </w:r>
            <w:r w:rsidR="00996C30">
              <w:rPr>
                <w:sz w:val="20"/>
                <w:szCs w:val="20"/>
              </w:rPr>
              <w:t>( учетный номер части 2, площадь 27072</w:t>
            </w:r>
            <w:r w:rsidR="00996C30" w:rsidRPr="00996C30">
              <w:rPr>
                <w:sz w:val="20"/>
                <w:szCs w:val="20"/>
              </w:rPr>
              <w:t xml:space="preserve"> кв.м.)</w:t>
            </w:r>
            <w:r w:rsidR="00BA4584">
              <w:rPr>
                <w:sz w:val="20"/>
                <w:szCs w:val="20"/>
              </w:rPr>
              <w:t>;</w:t>
            </w:r>
          </w:p>
          <w:p w14:paraId="6C3D2FB8" w14:textId="3C2CDDFA" w:rsidR="00BA4584" w:rsidRDefault="00BA4584" w:rsidP="00BA45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BA4584">
              <w:rPr>
                <w:sz w:val="20"/>
                <w:szCs w:val="20"/>
              </w:rPr>
              <w:t>Ограничения прав на земельный участок, предусмотренн</w:t>
            </w:r>
            <w:r>
              <w:rPr>
                <w:sz w:val="20"/>
                <w:szCs w:val="20"/>
              </w:rPr>
              <w:t xml:space="preserve">ые статьями 56, 56.1 Земельного </w:t>
            </w:r>
            <w:r w:rsidRPr="00BA4584">
              <w:rPr>
                <w:sz w:val="20"/>
                <w:szCs w:val="20"/>
              </w:rPr>
              <w:t>кодекса Российской Федерации, 50.37.2.73, карта(план) № б/н</w:t>
            </w:r>
            <w:r w:rsidR="00996C30">
              <w:rPr>
                <w:sz w:val="20"/>
                <w:szCs w:val="20"/>
              </w:rPr>
              <w:t xml:space="preserve"> (учетный номер части 3, площадь 2439</w:t>
            </w:r>
            <w:r w:rsidR="00996C30" w:rsidRPr="00996C30">
              <w:rPr>
                <w:sz w:val="20"/>
                <w:szCs w:val="20"/>
              </w:rPr>
              <w:t xml:space="preserve"> кв.м.)</w:t>
            </w:r>
            <w:r>
              <w:rPr>
                <w:sz w:val="20"/>
                <w:szCs w:val="20"/>
              </w:rPr>
              <w:t>;</w:t>
            </w:r>
          </w:p>
          <w:p w14:paraId="04423E99" w14:textId="18494D3E" w:rsidR="00BA4584" w:rsidRDefault="00BA4584" w:rsidP="00BA45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BA4584">
              <w:rPr>
                <w:sz w:val="20"/>
                <w:szCs w:val="20"/>
              </w:rPr>
              <w:t>Ограничения прав на земельный участок, предусмотренные статьями 56, 5</w:t>
            </w:r>
            <w:r>
              <w:rPr>
                <w:sz w:val="20"/>
                <w:szCs w:val="20"/>
              </w:rPr>
              <w:t xml:space="preserve">6.1 Земельного </w:t>
            </w:r>
            <w:r w:rsidRPr="00BA4584">
              <w:rPr>
                <w:sz w:val="20"/>
                <w:szCs w:val="20"/>
              </w:rPr>
              <w:t>кодекса Российской Федерации, карта(план) № б/н, срок действия: 27.05.2015</w:t>
            </w:r>
            <w:r w:rsidR="00996C30" w:rsidRPr="00996C30">
              <w:rPr>
                <w:sz w:val="20"/>
                <w:szCs w:val="20"/>
              </w:rPr>
              <w:t>(учетный номер части 3, площадь 2439 кв.м.)</w:t>
            </w:r>
            <w:r>
              <w:rPr>
                <w:sz w:val="20"/>
                <w:szCs w:val="20"/>
              </w:rPr>
              <w:t>;</w:t>
            </w:r>
          </w:p>
          <w:p w14:paraId="2DF42F8F" w14:textId="0C48959F" w:rsidR="00BA4584" w:rsidRDefault="00BA4584" w:rsidP="00BA45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BA4584">
              <w:rPr>
                <w:sz w:val="20"/>
                <w:szCs w:val="20"/>
              </w:rPr>
              <w:t>Ограничения прав на земельный участок, предусмотренн</w:t>
            </w:r>
            <w:r>
              <w:rPr>
                <w:sz w:val="20"/>
                <w:szCs w:val="20"/>
              </w:rPr>
              <w:t xml:space="preserve">ые статьями 56, 56.1 Земельного </w:t>
            </w:r>
            <w:r w:rsidRPr="00BA4584">
              <w:rPr>
                <w:sz w:val="20"/>
                <w:szCs w:val="20"/>
              </w:rPr>
              <w:t>кодекса Российской Федерации, 50.37.2.7, Постан</w:t>
            </w:r>
            <w:r>
              <w:rPr>
                <w:sz w:val="20"/>
                <w:szCs w:val="20"/>
              </w:rPr>
              <w:t xml:space="preserve">овление "О порядке установления </w:t>
            </w:r>
            <w:r w:rsidRPr="00BA4584">
              <w:rPr>
                <w:sz w:val="20"/>
                <w:szCs w:val="20"/>
              </w:rPr>
              <w:t>охранных зон объектов электросетевого хозяйства</w:t>
            </w:r>
            <w:r>
              <w:rPr>
                <w:sz w:val="20"/>
                <w:szCs w:val="20"/>
              </w:rPr>
              <w:t xml:space="preserve"> и особых условий использования </w:t>
            </w:r>
            <w:r w:rsidRPr="00BA4584">
              <w:rPr>
                <w:sz w:val="20"/>
                <w:szCs w:val="20"/>
              </w:rPr>
              <w:t>земельных участков, расположенных в границах таких зон" № 160 от 24.02.2009</w:t>
            </w:r>
            <w:r w:rsidR="00996C30" w:rsidRPr="00996C30">
              <w:rPr>
                <w:sz w:val="20"/>
                <w:szCs w:val="20"/>
              </w:rPr>
              <w:t xml:space="preserve">(учетный номер части </w:t>
            </w:r>
            <w:r w:rsidR="00996C30">
              <w:rPr>
                <w:sz w:val="20"/>
                <w:szCs w:val="20"/>
              </w:rPr>
              <w:t>4, площадь 62960</w:t>
            </w:r>
            <w:r w:rsidR="00996C30" w:rsidRPr="00996C30">
              <w:rPr>
                <w:sz w:val="20"/>
                <w:szCs w:val="20"/>
              </w:rPr>
              <w:t xml:space="preserve"> кв.м.)</w:t>
            </w:r>
            <w:r>
              <w:rPr>
                <w:sz w:val="20"/>
                <w:szCs w:val="20"/>
              </w:rPr>
              <w:t>;</w:t>
            </w:r>
          </w:p>
          <w:p w14:paraId="2347922F" w14:textId="380651B2" w:rsidR="00BA4584" w:rsidRDefault="00BA4584" w:rsidP="000B60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BA4584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 w:rsidR="000B60D2">
              <w:rPr>
                <w:sz w:val="20"/>
                <w:szCs w:val="20"/>
              </w:rPr>
              <w:t xml:space="preserve"> </w:t>
            </w:r>
            <w:r w:rsidRPr="00BA4584">
              <w:rPr>
                <w:sz w:val="20"/>
                <w:szCs w:val="20"/>
              </w:rPr>
              <w:t>кодекса Российской Федерации, Постановление "О порядке установления охранных зон</w:t>
            </w:r>
            <w:r w:rsidR="000B60D2">
              <w:rPr>
                <w:sz w:val="20"/>
                <w:szCs w:val="20"/>
              </w:rPr>
              <w:t xml:space="preserve"> </w:t>
            </w:r>
            <w:r w:rsidRPr="00BA4584">
              <w:rPr>
                <w:sz w:val="20"/>
                <w:szCs w:val="20"/>
              </w:rPr>
              <w:t xml:space="preserve">объектов электросетевого хозяйства и особых условий использования </w:t>
            </w:r>
            <w:r w:rsidRPr="00BA4584">
              <w:rPr>
                <w:sz w:val="20"/>
                <w:szCs w:val="20"/>
              </w:rPr>
              <w:lastRenderedPageBreak/>
              <w:t>земельных участков,</w:t>
            </w:r>
            <w:r w:rsidR="00996C30">
              <w:rPr>
                <w:sz w:val="20"/>
                <w:szCs w:val="20"/>
              </w:rPr>
              <w:t xml:space="preserve"> </w:t>
            </w:r>
            <w:r w:rsidRPr="00BA4584">
              <w:rPr>
                <w:sz w:val="20"/>
                <w:szCs w:val="20"/>
              </w:rPr>
              <w:t>расположенных в границах таких зон" № 160 от 24.02.2009, срок действия: 27.05.2015</w:t>
            </w:r>
            <w:r w:rsidR="00996C30">
              <w:t xml:space="preserve"> (</w:t>
            </w:r>
            <w:r w:rsidR="00996C30" w:rsidRPr="00996C30">
              <w:rPr>
                <w:sz w:val="20"/>
                <w:szCs w:val="20"/>
              </w:rPr>
              <w:t>учетный номер части 4, площадь 62960 кв.м.);</w:t>
            </w:r>
          </w:p>
          <w:p w14:paraId="75C3A954" w14:textId="360217A9" w:rsidR="00996C30" w:rsidRPr="00996C30" w:rsidRDefault="000B60D2" w:rsidP="00996C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6C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996C30">
              <w:t xml:space="preserve"> </w:t>
            </w:r>
            <w:r w:rsidR="00996C30" w:rsidRPr="00996C30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 w:rsidR="00996C30">
              <w:rPr>
                <w:sz w:val="20"/>
                <w:szCs w:val="20"/>
              </w:rPr>
              <w:t xml:space="preserve"> </w:t>
            </w:r>
            <w:r w:rsidR="00996C30" w:rsidRPr="00996C30">
              <w:rPr>
                <w:sz w:val="20"/>
                <w:szCs w:val="20"/>
              </w:rPr>
              <w:t>кодекса Российской Федерации, 50.37.2.2, Постановление "О ПОРЯДКЕ УСТАНОВЛЕНИЯ</w:t>
            </w:r>
            <w:r w:rsidR="00996C30">
              <w:rPr>
                <w:sz w:val="20"/>
                <w:szCs w:val="20"/>
              </w:rPr>
              <w:t xml:space="preserve"> </w:t>
            </w:r>
            <w:r w:rsidR="00996C30" w:rsidRPr="00996C30">
              <w:rPr>
                <w:sz w:val="20"/>
                <w:szCs w:val="20"/>
              </w:rPr>
              <w:t>ОХРАННЫХ ЗОН ОБЪЕКТОВ ЭЛЕКТРОСЕТЕВОГО ХОЗЯЙСТВА И ОСОБЫХ</w:t>
            </w:r>
          </w:p>
          <w:p w14:paraId="0FAB5D51" w14:textId="4E6C6A5B" w:rsidR="000B60D2" w:rsidRDefault="00996C30" w:rsidP="00996C30">
            <w:pPr>
              <w:pStyle w:val="Default"/>
              <w:jc w:val="both"/>
              <w:rPr>
                <w:sz w:val="20"/>
                <w:szCs w:val="20"/>
              </w:rPr>
            </w:pPr>
            <w:r w:rsidRPr="00996C30">
              <w:rPr>
                <w:sz w:val="20"/>
                <w:szCs w:val="20"/>
              </w:rPr>
              <w:t>УСЛОВИЙ ИСПОЛЬЗОВАНИЯ ЗЕМЕЛЬНЫХ УЧАСТКОВ, РАСПОЛОЖЕННЫХ В</w:t>
            </w:r>
            <w:r>
              <w:rPr>
                <w:sz w:val="20"/>
                <w:szCs w:val="20"/>
              </w:rPr>
              <w:t xml:space="preserve"> </w:t>
            </w:r>
            <w:r w:rsidRPr="00996C30">
              <w:rPr>
                <w:sz w:val="20"/>
                <w:szCs w:val="20"/>
              </w:rPr>
              <w:t>ГРАНИЦАХ ТАКИХ ЗОН" № 160 от 24.02.2009</w:t>
            </w:r>
            <w:r>
              <w:rPr>
                <w:sz w:val="20"/>
                <w:szCs w:val="20"/>
              </w:rPr>
              <w:t xml:space="preserve"> (учетный номер части 5, площадь 101292</w:t>
            </w:r>
            <w:r w:rsidRPr="00996C30">
              <w:rPr>
                <w:sz w:val="20"/>
                <w:szCs w:val="20"/>
              </w:rPr>
              <w:t xml:space="preserve"> кв.м.);</w:t>
            </w:r>
          </w:p>
          <w:p w14:paraId="1597B056" w14:textId="6C0CAB4F" w:rsidR="00996C30" w:rsidRPr="00996C30" w:rsidRDefault="00996C30" w:rsidP="00996C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10).</w:t>
            </w:r>
            <w:r>
              <w:t xml:space="preserve"> </w:t>
            </w:r>
            <w:r w:rsidRPr="00996C30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sz w:val="20"/>
                <w:szCs w:val="20"/>
              </w:rPr>
              <w:t xml:space="preserve"> </w:t>
            </w:r>
            <w:r w:rsidRPr="00996C30">
              <w:rPr>
                <w:sz w:val="20"/>
                <w:szCs w:val="20"/>
              </w:rPr>
              <w:t>кодекса Российской Федерации, Постановление "О ПОРЯДКЕ УСТАНОВЛЕНИЯ</w:t>
            </w:r>
          </w:p>
          <w:p w14:paraId="5E5BF96D" w14:textId="0FE957AD" w:rsidR="000B60D2" w:rsidRDefault="00C925C9" w:rsidP="00996C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ОХРАННЫХ ЗОН</w:t>
            </w:r>
            <w:r w:rsidR="00996C30" w:rsidRPr="00996C30">
              <w:rPr>
                <w:sz w:val="20"/>
                <w:szCs w:val="20"/>
              </w:rPr>
              <w:t xml:space="preserve"> ОБЪЕКТОВ ЭЛЕКТРОСЕТЕВОГО ХОЗЯЙСТВА И ОСОБЫХ</w:t>
            </w:r>
            <w:r w:rsidR="00996C30">
              <w:rPr>
                <w:sz w:val="20"/>
                <w:szCs w:val="20"/>
              </w:rPr>
              <w:t xml:space="preserve"> </w:t>
            </w:r>
            <w:r w:rsidR="00996C30" w:rsidRPr="00996C30">
              <w:rPr>
                <w:sz w:val="20"/>
                <w:szCs w:val="20"/>
              </w:rPr>
              <w:t>УСЛОВИЙ ИСПОЛЬЗОВАНИЯ ЗЕМЕЛЬНЫХ УЧАСТКОВ,</w:t>
            </w:r>
            <w:r w:rsidR="00996C30">
              <w:rPr>
                <w:sz w:val="20"/>
                <w:szCs w:val="20"/>
              </w:rPr>
              <w:t xml:space="preserve"> </w:t>
            </w:r>
            <w:r w:rsidR="00996C30" w:rsidRPr="00996C30">
              <w:rPr>
                <w:sz w:val="20"/>
                <w:szCs w:val="20"/>
              </w:rPr>
              <w:t>РАСПОЛОЖЕННЫХ В ГРАНИЦАХ ТАКИХ ЗОН" № 160 от 24.02.2009, срок</w:t>
            </w:r>
            <w:r w:rsidR="00996C30">
              <w:rPr>
                <w:sz w:val="20"/>
                <w:szCs w:val="20"/>
              </w:rPr>
              <w:t xml:space="preserve"> </w:t>
            </w:r>
            <w:r w:rsidR="00996C30" w:rsidRPr="00996C30">
              <w:rPr>
                <w:sz w:val="20"/>
                <w:szCs w:val="20"/>
              </w:rPr>
              <w:t>действия: 27.05.2015</w:t>
            </w:r>
            <w:r w:rsidR="00996C30">
              <w:rPr>
                <w:sz w:val="20"/>
                <w:szCs w:val="20"/>
              </w:rPr>
              <w:t xml:space="preserve"> </w:t>
            </w:r>
            <w:r w:rsidR="00996C30" w:rsidRPr="00996C30">
              <w:rPr>
                <w:sz w:val="20"/>
                <w:szCs w:val="20"/>
              </w:rPr>
              <w:t>(учетный номер части 5, площадь 101292 кв.м.)</w:t>
            </w:r>
            <w:r>
              <w:rPr>
                <w:sz w:val="20"/>
                <w:szCs w:val="20"/>
              </w:rPr>
              <w:t>;</w:t>
            </w:r>
          </w:p>
          <w:p w14:paraId="5FD58B71" w14:textId="6576219B" w:rsidR="00996C30" w:rsidRPr="00996C30" w:rsidRDefault="00996C30" w:rsidP="00996C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</w:t>
            </w:r>
            <w:r>
              <w:t xml:space="preserve"> </w:t>
            </w:r>
            <w:r w:rsidRPr="00996C30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sz w:val="20"/>
                <w:szCs w:val="20"/>
              </w:rPr>
              <w:t xml:space="preserve"> </w:t>
            </w:r>
            <w:r w:rsidRPr="00996C30">
              <w:rPr>
                <w:sz w:val="20"/>
                <w:szCs w:val="20"/>
              </w:rPr>
              <w:t>кодекса Российской Федерации, 50.37.2.1, Постановление "О ПОРЯДКЕ УСТАНОВЛЕНИЯ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996C30">
              <w:rPr>
                <w:sz w:val="20"/>
                <w:szCs w:val="20"/>
              </w:rPr>
              <w:t>ОХРАННЫХ ЗОН ОБЪЕКТОВ ЭЛЕКТРОСЕТЕВОГО ХОЗЯЙСТВА И ОСОБЫХ</w:t>
            </w:r>
          </w:p>
          <w:p w14:paraId="4BDFD792" w14:textId="77777777" w:rsidR="00996C30" w:rsidRDefault="00996C30" w:rsidP="00996C30">
            <w:pPr>
              <w:pStyle w:val="Default"/>
              <w:jc w:val="both"/>
              <w:rPr>
                <w:sz w:val="20"/>
                <w:szCs w:val="20"/>
              </w:rPr>
            </w:pPr>
            <w:r w:rsidRPr="00996C30">
              <w:rPr>
                <w:sz w:val="20"/>
                <w:szCs w:val="20"/>
              </w:rPr>
              <w:t>УСЛОВИЙ ИСПОЛЬЗОВАНИЯ ЗЕМЕЛЬНЫХ УЧАСТКОВ, РАСПОЛОЖЕННЫХ ВГРАНИЦАХ ТАКИХ ЗОН" № 160 от 24.02.2009</w:t>
            </w:r>
            <w:r w:rsidR="00C925C9">
              <w:rPr>
                <w:sz w:val="20"/>
                <w:szCs w:val="20"/>
              </w:rPr>
              <w:t>(учетный номер части 6</w:t>
            </w:r>
            <w:r w:rsidR="00C925C9" w:rsidRPr="00C925C9">
              <w:rPr>
                <w:sz w:val="20"/>
                <w:szCs w:val="20"/>
              </w:rPr>
              <w:t>, площадь 101292 кв.м.)</w:t>
            </w:r>
          </w:p>
          <w:p w14:paraId="4EF5E794" w14:textId="6C91628E" w:rsidR="00C925C9" w:rsidRPr="00C925C9" w:rsidRDefault="00C925C9" w:rsidP="00C925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</w:t>
            </w:r>
            <w:r w:rsidRPr="00C925C9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sz w:val="20"/>
                <w:szCs w:val="20"/>
              </w:rPr>
              <w:t xml:space="preserve"> </w:t>
            </w:r>
            <w:r w:rsidRPr="00C925C9">
              <w:rPr>
                <w:sz w:val="20"/>
                <w:szCs w:val="20"/>
              </w:rPr>
              <w:t>кодекса Российской Федерации, Постановление "О ПОРЯДКЕ УСТАНОВЛЕНИЯ</w:t>
            </w:r>
          </w:p>
          <w:p w14:paraId="4FB6164C" w14:textId="77777777" w:rsidR="00C925C9" w:rsidRDefault="00C925C9" w:rsidP="00C925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ОХРАННЫХ ЗОН</w:t>
            </w:r>
            <w:r w:rsidRPr="00C925C9">
              <w:rPr>
                <w:sz w:val="20"/>
                <w:szCs w:val="20"/>
              </w:rPr>
              <w:t xml:space="preserve"> ОБЪЕКТОВ ЭЛЕКТРОСЕТЕВОГО ХОЗЯЙСТВА И ОСОБЫХ</w:t>
            </w:r>
            <w:r>
              <w:rPr>
                <w:sz w:val="20"/>
                <w:szCs w:val="20"/>
              </w:rPr>
              <w:t xml:space="preserve"> </w:t>
            </w:r>
            <w:r w:rsidRPr="00C925C9">
              <w:rPr>
                <w:sz w:val="20"/>
                <w:szCs w:val="20"/>
              </w:rPr>
              <w:t>УСЛОВИЙ</w:t>
            </w:r>
            <w:r>
              <w:rPr>
                <w:sz w:val="20"/>
                <w:szCs w:val="20"/>
              </w:rPr>
              <w:t xml:space="preserve"> </w:t>
            </w:r>
            <w:r w:rsidRPr="00C925C9">
              <w:rPr>
                <w:sz w:val="20"/>
                <w:szCs w:val="20"/>
              </w:rPr>
              <w:t>ИСПОЛЬЗОВАНИЯ ЗЕМЕЛЬНЫХ УЧАСТКОВ,РАСПОЛОЖЕННЫХ В ГРАНИЦАХ ТАКИХ ЗОН" № 160 от 24.02.2009, срок</w:t>
            </w:r>
            <w:r>
              <w:rPr>
                <w:sz w:val="20"/>
                <w:szCs w:val="20"/>
              </w:rPr>
              <w:t xml:space="preserve"> </w:t>
            </w:r>
            <w:r w:rsidRPr="00C925C9">
              <w:rPr>
                <w:sz w:val="20"/>
                <w:szCs w:val="20"/>
              </w:rPr>
              <w:t>действия: 27.05.2015</w:t>
            </w:r>
            <w:r>
              <w:t xml:space="preserve"> (</w:t>
            </w:r>
            <w:r w:rsidRPr="00C925C9">
              <w:rPr>
                <w:sz w:val="20"/>
                <w:szCs w:val="20"/>
              </w:rPr>
              <w:t>учетный номер части 6, площадь 101292 кв.м.)</w:t>
            </w:r>
          </w:p>
          <w:p w14:paraId="60E313D8" w14:textId="77777777" w:rsidR="00C925C9" w:rsidRDefault="00C925C9" w:rsidP="00C925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</w:t>
            </w:r>
            <w:r>
              <w:t xml:space="preserve"> </w:t>
            </w:r>
            <w:r w:rsidRPr="00C925C9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sz w:val="20"/>
                <w:szCs w:val="20"/>
              </w:rPr>
              <w:t xml:space="preserve"> </w:t>
            </w:r>
            <w:r w:rsidRPr="00C925C9">
              <w:rPr>
                <w:sz w:val="20"/>
                <w:szCs w:val="20"/>
              </w:rPr>
              <w:t>кодекса Российской Федерации, 50.37.2.432, Передаточный Акт № б/н от 11.12.2017</w:t>
            </w:r>
            <w:r>
              <w:rPr>
                <w:sz w:val="20"/>
                <w:szCs w:val="20"/>
              </w:rPr>
              <w:t>(учетный номер части 7, площадь 1617</w:t>
            </w:r>
            <w:r w:rsidRPr="00C925C9">
              <w:rPr>
                <w:sz w:val="20"/>
                <w:szCs w:val="20"/>
              </w:rPr>
              <w:t xml:space="preserve"> кв.м.)</w:t>
            </w:r>
          </w:p>
          <w:p w14:paraId="759A5A2C" w14:textId="77777777" w:rsidR="000C62A8" w:rsidRDefault="000C62A8" w:rsidP="000C62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</w:t>
            </w:r>
            <w:r>
              <w:t xml:space="preserve"> </w:t>
            </w:r>
            <w:r w:rsidRPr="000C62A8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sz w:val="20"/>
                <w:szCs w:val="20"/>
              </w:rPr>
              <w:t xml:space="preserve"> </w:t>
            </w:r>
            <w:r w:rsidRPr="000C62A8">
              <w:rPr>
                <w:sz w:val="20"/>
                <w:szCs w:val="20"/>
              </w:rPr>
              <w:t>кодекса Российской Федерации, Передаточный Акт № б/н от 11.12.2017, срок действия:</w:t>
            </w:r>
            <w:r>
              <w:rPr>
                <w:sz w:val="20"/>
                <w:szCs w:val="20"/>
              </w:rPr>
              <w:t xml:space="preserve"> </w:t>
            </w:r>
            <w:r w:rsidRPr="000C62A8">
              <w:rPr>
                <w:sz w:val="20"/>
                <w:szCs w:val="20"/>
              </w:rPr>
              <w:t>10.02.2020</w:t>
            </w:r>
            <w:r>
              <w:rPr>
                <w:sz w:val="20"/>
                <w:szCs w:val="20"/>
              </w:rPr>
              <w:t xml:space="preserve"> </w:t>
            </w:r>
            <w:r w:rsidRPr="000C62A8">
              <w:rPr>
                <w:sz w:val="20"/>
                <w:szCs w:val="20"/>
              </w:rPr>
              <w:t>(учетный номер части 7, площадь 1617 кв.м.)</w:t>
            </w:r>
          </w:p>
          <w:p w14:paraId="13AEDEF2" w14:textId="77777777" w:rsidR="000C62A8" w:rsidRDefault="000C62A8" w:rsidP="000C62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</w:t>
            </w:r>
            <w:r>
              <w:t xml:space="preserve"> </w:t>
            </w:r>
            <w:r w:rsidRPr="000C62A8">
              <w:rPr>
                <w:sz w:val="20"/>
                <w:szCs w:val="20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sz w:val="20"/>
                <w:szCs w:val="20"/>
              </w:rPr>
              <w:t xml:space="preserve"> </w:t>
            </w:r>
            <w:r w:rsidRPr="000C62A8">
              <w:rPr>
                <w:sz w:val="20"/>
                <w:szCs w:val="20"/>
              </w:rPr>
              <w:t>кодекса Российской Федерации, ZoneToGKN_7fe3ad96-9419-4df1-991e-8f3c2de33373.zip №</w:t>
            </w:r>
            <w:r>
              <w:rPr>
                <w:sz w:val="20"/>
                <w:szCs w:val="20"/>
              </w:rPr>
              <w:t xml:space="preserve"> </w:t>
            </w:r>
            <w:r w:rsidRPr="000C62A8">
              <w:rPr>
                <w:sz w:val="20"/>
                <w:szCs w:val="20"/>
              </w:rPr>
              <w:t>PVD-0145/2020-6480-1 от 10.08.2020, срок действия: 21.09.2020</w:t>
            </w:r>
            <w:r>
              <w:rPr>
                <w:sz w:val="20"/>
                <w:szCs w:val="20"/>
              </w:rPr>
              <w:t xml:space="preserve"> учетный номер части 8, площадь 0</w:t>
            </w:r>
            <w:r w:rsidRPr="000C62A8">
              <w:rPr>
                <w:sz w:val="20"/>
                <w:szCs w:val="20"/>
              </w:rPr>
              <w:t xml:space="preserve"> кв.м.)</w:t>
            </w:r>
          </w:p>
          <w:p w14:paraId="3A8C02CD" w14:textId="5F3D3EB3" w:rsidR="003A4CD7" w:rsidRDefault="00DE605D" w:rsidP="003A4CD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DE60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.7.</w:t>
            </w:r>
            <w:r w:rsidR="003A4CD7">
              <w:rPr>
                <w:sz w:val="20"/>
                <w:szCs w:val="20"/>
              </w:rPr>
              <w:t xml:space="preserve"> </w:t>
            </w:r>
            <w:r w:rsidR="003A4CD7" w:rsidRPr="003A4CD7">
              <w:rPr>
                <w:sz w:val="20"/>
                <w:szCs w:val="20"/>
              </w:rPr>
              <w:t>В пределах земельного участка</w:t>
            </w:r>
            <w:r w:rsidRPr="00DE60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КН</w:t>
            </w:r>
            <w:r w:rsidRPr="00DE605D">
              <w:rPr>
                <w:sz w:val="20"/>
                <w:szCs w:val="20"/>
              </w:rPr>
              <w:t>50:37:0000000:131</w:t>
            </w:r>
            <w:r w:rsidR="003A4CD7" w:rsidRPr="003A4CD7">
              <w:rPr>
                <w:sz w:val="20"/>
                <w:szCs w:val="20"/>
              </w:rPr>
              <w:t xml:space="preserve"> без установления сервитута расположены объекты недвижимости: КН50:37:0000000:8034 – сооружение водопроводная сеть протяженностью 13882 м; </w:t>
            </w:r>
            <w:r w:rsidR="003A4CD7" w:rsidRPr="003A4CD7">
              <w:rPr>
                <w:rFonts w:cstheme="minorBidi"/>
                <w:color w:val="auto"/>
                <w:sz w:val="20"/>
                <w:szCs w:val="20"/>
              </w:rPr>
              <w:t xml:space="preserve"> КН50:37:0000000:7935– сооружение ( автомобильная дорога общего пользования) протяжённостью 1537 м.</w:t>
            </w:r>
            <w:r w:rsidR="003A4CD7" w:rsidRPr="003A4C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 </w:t>
            </w:r>
          </w:p>
          <w:p w14:paraId="200A9152" w14:textId="0AE477AD" w:rsidR="003A4CD7" w:rsidRPr="00DE605D" w:rsidRDefault="00DE605D" w:rsidP="00DE60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1.8.</w:t>
            </w:r>
            <w:r w:rsidR="003A4CD7" w:rsidRPr="00DE605D">
              <w:rPr>
                <w:rFonts w:cstheme="minorBidi"/>
                <w:color w:val="auto"/>
                <w:sz w:val="22"/>
                <w:szCs w:val="22"/>
              </w:rPr>
              <w:t xml:space="preserve"> </w:t>
            </w:r>
            <w:r w:rsidR="003A4CD7" w:rsidRPr="00DE605D">
              <w:rPr>
                <w:rFonts w:cstheme="minorBidi"/>
                <w:color w:val="auto"/>
                <w:sz w:val="20"/>
                <w:szCs w:val="20"/>
              </w:rPr>
              <w:t>по средствам земельного участка</w:t>
            </w:r>
            <w:r w:rsidRPr="00DE605D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="003A4CD7" w:rsidRPr="00DE605D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 КН </w:t>
            </w:r>
            <w:r w:rsidRPr="00DE605D">
              <w:rPr>
                <w:rFonts w:cstheme="minorBidi"/>
                <w:color w:val="auto"/>
                <w:sz w:val="20"/>
                <w:szCs w:val="20"/>
              </w:rPr>
              <w:t>50:37:0000000:131</w:t>
            </w:r>
            <w:r w:rsidR="003A4CD7" w:rsidRPr="00DE605D">
              <w:rPr>
                <w:rFonts w:cstheme="minorBidi"/>
                <w:color w:val="auto"/>
                <w:sz w:val="20"/>
                <w:szCs w:val="20"/>
              </w:rPr>
              <w:t xml:space="preserve"> обеспечен доступ  к  другим земельным участкам КН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="003A4CD7" w:rsidRPr="00DE605D">
              <w:rPr>
                <w:rFonts w:cstheme="minorBidi"/>
                <w:color w:val="auto"/>
                <w:sz w:val="20"/>
                <w:szCs w:val="20"/>
              </w:rPr>
              <w:t>50:37:0050117:45, 50:37:0050117:46, 50:37:0050117:49, 50:37:0050117:89, 50:37:0050117:90, 50:37:0050117:82,  50:37:0050117:87, 50:37:0050117:81, 50:37:0050117:83, 50:37:0050117:84,  50:37:0050117:85,  50:37:0050117:86, 50:37:0050117:88</w:t>
            </w:r>
            <w:r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</w:tc>
      </w:tr>
    </w:tbl>
    <w:p w14:paraId="1F96F4C2" w14:textId="70F365DB" w:rsidR="00EE5A8D" w:rsidRDefault="006842C9" w:rsidP="00DE605D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</w:rPr>
        <w:lastRenderedPageBreak/>
        <w:t>.</w:t>
      </w:r>
      <w:r w:rsidR="00DE605D">
        <w:rPr>
          <w:rFonts w:ascii="Verdana" w:hAnsi="Verdana" w:cs="Verdana"/>
          <w:color w:val="000000"/>
        </w:rPr>
        <w:t>1.9.</w:t>
      </w:r>
      <w:r w:rsidR="00EE5A8D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EE5A8D" w:rsidRPr="00DE605D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EE5A8D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C21BB3">
        <w:rPr>
          <w:rFonts w:ascii="Verdana" w:hAnsi="Verdana" w:cs="Verdana"/>
          <w:color w:val="000000"/>
        </w:rPr>
        <w:t>.</w:t>
      </w:r>
    </w:p>
    <w:p w14:paraId="52848F08" w14:textId="0D15A6C2" w:rsidR="00DE605D" w:rsidRDefault="00DE605D" w:rsidP="00DE605D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 w:cs="Verdana"/>
          <w:color w:val="000000"/>
        </w:rPr>
      </w:pPr>
    </w:p>
    <w:p w14:paraId="493E1A7E" w14:textId="77777777" w:rsidR="00DE605D" w:rsidRPr="00F1328F" w:rsidRDefault="00DE605D" w:rsidP="00DE605D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2B231BCD" w:rsidR="00CF1A05" w:rsidRPr="008509DF" w:rsidRDefault="00DE605D" w:rsidP="00DE60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9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CF1A0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05F838" w14:textId="06C21B1D" w:rsidR="009C2119" w:rsidRPr="00563B4E" w:rsidRDefault="00CF1A05" w:rsidP="00AF269E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</w:t>
      </w:r>
      <w:r w:rsidR="00F1328F">
        <w:rPr>
          <w:rFonts w:ascii="Verdana" w:hAnsi="Verdana"/>
        </w:rPr>
        <w:t>,</w:t>
      </w:r>
      <w:r w:rsidR="00AF721D" w:rsidRPr="00AF721D">
        <w:rPr>
          <w:rFonts w:ascii="Verdana" w:hAnsi="Verdana"/>
        </w:rPr>
        <w:t xml:space="preserve"> </w:t>
      </w:r>
      <w:r w:rsidR="00F1328F" w:rsidRPr="00F1328F">
        <w:rPr>
          <w:rFonts w:ascii="Verdana" w:hAnsi="Verdana"/>
        </w:rPr>
        <w:t>НДС не облагается на основании пп.6 п.2 ст.146 НК РФ</w:t>
      </w:r>
      <w:r w:rsidR="00950FF3" w:rsidRPr="00AF721D">
        <w:rPr>
          <w:rFonts w:ascii="Verdana" w:hAnsi="Verdana"/>
        </w:rPr>
        <w:t>)</w:t>
      </w:r>
      <w:r w:rsidR="00F1328F">
        <w:rPr>
          <w:rFonts w:ascii="Verdana" w:hAnsi="Verdana"/>
        </w:rPr>
        <w:t>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6158E896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30DF33D" w:rsidR="00AB5223" w:rsidRPr="008509DF" w:rsidRDefault="00DE0E51" w:rsidP="00F132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F1328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4871FA01" w:rsidR="001E5436" w:rsidRPr="008C63A5" w:rsidRDefault="007F7DE1" w:rsidP="00EF43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74B80BD9" w14:textId="1BB3F37E" w:rsidR="001E5436" w:rsidRPr="00566401" w:rsidRDefault="00B71921" w:rsidP="00F132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F1328F">
              <w:rPr>
                <w:rFonts w:ascii="Verdana" w:hAnsi="Verdana"/>
                <w:sz w:val="20"/>
                <w:szCs w:val="20"/>
              </w:rPr>
              <w:t>копеек.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512C1A8F" w14:textId="2AAAFA2A" w:rsidR="00891CDE" w:rsidRPr="008C63A5" w:rsidRDefault="00891CDE" w:rsidP="00CA6F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83485A3" w:rsidR="009D6025" w:rsidRDefault="009D6025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EF43CC" w:rsidRPr="008076AD" w14:paraId="190112B0" w14:textId="77777777" w:rsidTr="0024154C">
        <w:trPr>
          <w:trHeight w:val="1459"/>
        </w:trPr>
        <w:tc>
          <w:tcPr>
            <w:tcW w:w="2268" w:type="dxa"/>
            <w:shd w:val="clear" w:color="auto" w:fill="auto"/>
          </w:tcPr>
          <w:p w14:paraId="3EB30664" w14:textId="77777777" w:rsidR="00EF43CC" w:rsidRDefault="00EF43CC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7508F5A1" w14:textId="77777777" w:rsidR="00EF43CC" w:rsidRPr="008076AD" w:rsidRDefault="00EF43CC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3C41061" w14:textId="77777777" w:rsidR="00EF43CC" w:rsidRPr="008076AD" w:rsidRDefault="00EF43CC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43B552D9" w14:textId="77777777" w:rsidR="00EF43CC" w:rsidRDefault="00EF43CC" w:rsidP="0024154C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1E38212E" w14:textId="77777777" w:rsidR="00EF43CC" w:rsidRPr="00FF18BB" w:rsidRDefault="00EF43CC" w:rsidP="0024154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A5DAD16" w14:textId="77777777" w:rsidR="00EF43CC" w:rsidRPr="00FF18BB" w:rsidRDefault="00EF43CC" w:rsidP="0024154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26C61ADB" w14:textId="77777777" w:rsidR="00EF43CC" w:rsidRPr="008076AD" w:rsidRDefault="00EF43CC" w:rsidP="0024154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EF43CC" w:rsidRPr="008076AD" w14:paraId="66E62EEF" w14:textId="77777777" w:rsidTr="0024154C">
        <w:trPr>
          <w:trHeight w:val="1459"/>
        </w:trPr>
        <w:tc>
          <w:tcPr>
            <w:tcW w:w="2268" w:type="dxa"/>
            <w:shd w:val="clear" w:color="auto" w:fill="auto"/>
          </w:tcPr>
          <w:p w14:paraId="59369638" w14:textId="77777777" w:rsidR="00EF43CC" w:rsidRPr="001F4AB1" w:rsidRDefault="00EF43CC" w:rsidP="0024154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1E2DC999" w14:textId="77777777" w:rsidR="00EF43CC" w:rsidRPr="001F4AB1" w:rsidRDefault="00EF43CC" w:rsidP="0024154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5D9BB198" w14:textId="77777777" w:rsidR="00EF43CC" w:rsidRPr="001F4AB1" w:rsidRDefault="00EF43CC" w:rsidP="0024154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38F90B35" w14:textId="77777777" w:rsidR="00EF43CC" w:rsidRPr="001F4AB1" w:rsidRDefault="00EF43CC" w:rsidP="0024154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52FB4D0" w14:textId="77777777" w:rsidR="00EF43CC" w:rsidRPr="008076AD" w:rsidRDefault="00EF43CC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5238711E" w14:textId="77777777" w:rsidR="00EF43CC" w:rsidRPr="00634013" w:rsidRDefault="00EF43CC" w:rsidP="0024154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5A5878C5" w14:textId="77777777" w:rsidR="00EF43CC" w:rsidRPr="00634013" w:rsidRDefault="00EF43CC" w:rsidP="0024154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1DF47D" w14:textId="77777777" w:rsidR="00EF43CC" w:rsidRPr="00634013" w:rsidRDefault="00EF43CC" w:rsidP="0024154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0B390780" w14:textId="77777777" w:rsidR="00EF43CC" w:rsidRPr="00634013" w:rsidRDefault="00EF43CC" w:rsidP="0024154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25E173CC" w14:textId="77777777" w:rsidR="00EF43CC" w:rsidRDefault="00EF43CC" w:rsidP="0024154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552418B9" w14:textId="77777777" w:rsidR="00EF43CC" w:rsidRPr="001F4AB1" w:rsidRDefault="00EF43CC" w:rsidP="0024154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D55336" w14:textId="77777777" w:rsidR="00EF43CC" w:rsidRPr="008076AD" w:rsidRDefault="00EF43CC" w:rsidP="0024154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F7C636" w14:textId="5B79F0A4" w:rsidR="00EF43CC" w:rsidRDefault="00EF43CC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1B518" w14:textId="73289D1E" w:rsidR="00EF43CC" w:rsidRDefault="00EF43CC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BA4584">
        <w:trPr>
          <w:trHeight w:val="708"/>
        </w:trPr>
        <w:tc>
          <w:tcPr>
            <w:tcW w:w="9498" w:type="dxa"/>
            <w:shd w:val="clear" w:color="auto" w:fill="auto"/>
          </w:tcPr>
          <w:p w14:paraId="204A4CA1" w14:textId="45437D0A" w:rsidR="00AF721D" w:rsidRPr="009C2119" w:rsidRDefault="00AF721D" w:rsidP="00BA4584">
            <w:pPr>
              <w:pStyle w:val="a5"/>
              <w:numPr>
                <w:ilvl w:val="2"/>
                <w:numId w:val="22"/>
              </w:numPr>
              <w:tabs>
                <w:tab w:val="left" w:pos="567"/>
              </w:tabs>
              <w:ind w:left="42" w:hanging="42"/>
              <w:jc w:val="both"/>
              <w:rPr>
                <w:rFonts w:ascii="Verdana" w:hAnsi="Verdana"/>
                <w:color w:val="000000" w:themeColor="text1"/>
              </w:rPr>
            </w:pPr>
            <w:r w:rsidRPr="009C2119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BA4584">
              <w:rPr>
                <w:rFonts w:ascii="Verdana" w:hAnsi="Verdana"/>
                <w:color w:val="000000" w:themeColor="text1"/>
              </w:rPr>
              <w:t xml:space="preserve">488 200 </w:t>
            </w:r>
            <w:r w:rsidRPr="009C2119">
              <w:rPr>
                <w:rFonts w:ascii="Verdana" w:hAnsi="Verdana"/>
                <w:color w:val="000000" w:themeColor="text1"/>
              </w:rPr>
              <w:t>(</w:t>
            </w:r>
            <w:r w:rsidR="00BA4584" w:rsidRPr="00BA4584">
              <w:rPr>
                <w:rFonts w:ascii="Verdana" w:hAnsi="Verdana"/>
                <w:color w:val="000000" w:themeColor="text1"/>
              </w:rPr>
              <w:t>Четыреста восемьдесят восемь тысяч двести</w:t>
            </w:r>
            <w:r w:rsidRPr="009C2119">
              <w:rPr>
                <w:rFonts w:ascii="Verdana" w:hAnsi="Verdana"/>
                <w:color w:val="000000" w:themeColor="text1"/>
              </w:rPr>
              <w:t xml:space="preserve">) </w:t>
            </w:r>
            <w:r w:rsidR="00563B4E">
              <w:rPr>
                <w:rFonts w:ascii="Verdana" w:hAnsi="Verdana"/>
                <w:color w:val="000000" w:themeColor="text1"/>
              </w:rPr>
              <w:t>рублей</w:t>
            </w:r>
            <w:r w:rsidR="009C2119">
              <w:rPr>
                <w:rFonts w:ascii="Verdana" w:hAnsi="Verdana"/>
                <w:color w:val="000000" w:themeColor="text1"/>
              </w:rPr>
              <w:t xml:space="preserve">, </w:t>
            </w:r>
            <w:r w:rsidR="009C2119" w:rsidRPr="009C2119">
              <w:rPr>
                <w:rFonts w:ascii="Verdana" w:hAnsi="Verdana"/>
                <w:color w:val="000000" w:themeColor="text1"/>
              </w:rPr>
              <w:t>НДС не облагается на основании пп.6 п.2 ст.146 НК РФ</w:t>
            </w:r>
            <w:r w:rsidRPr="009C2119">
              <w:rPr>
                <w:rFonts w:ascii="Verdana" w:hAnsi="Verdana"/>
                <w:color w:val="000000" w:themeColor="text1"/>
              </w:rPr>
              <w:t>,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9C2119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9C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1483F4E2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EF43CC">
              <w:rPr>
                <w:rFonts w:ascii="Verdana" w:hAnsi="Verdana"/>
                <w:i/>
                <w:color w:val="0070C0"/>
              </w:rPr>
              <w:t>10</w:t>
            </w:r>
            <w:r w:rsidR="00BA59C2" w:rsidRPr="008076AD">
              <w:rPr>
                <w:rFonts w:ascii="Verdana" w:hAnsi="Verdana"/>
                <w:i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  <w:i/>
                <w:color w:val="0070C0"/>
              </w:rPr>
              <w:t>(</w:t>
            </w:r>
            <w:r w:rsidR="00EF43CC">
              <w:rPr>
                <w:rFonts w:ascii="Verdana" w:hAnsi="Verdana"/>
                <w:i/>
                <w:color w:val="0070C0"/>
              </w:rPr>
              <w:t>десяти</w:t>
            </w:r>
            <w:r w:rsidR="000A1317" w:rsidRPr="008076AD">
              <w:rPr>
                <w:rFonts w:ascii="Verdana" w:hAnsi="Verdana"/>
                <w:i/>
                <w:color w:val="0070C0"/>
              </w:rPr>
              <w:t>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CFDB8DB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</w:t>
      </w:r>
      <w:r w:rsidR="00A24C91" w:rsidRPr="009C2119">
        <w:rPr>
          <w:rFonts w:ascii="Verdana" w:hAnsi="Verdana"/>
          <w:color w:val="000000" w:themeColor="text1"/>
        </w:rPr>
        <w:t xml:space="preserve">подписывается Сторонами в срок </w:t>
      </w:r>
      <w:r w:rsidR="002C1077" w:rsidRPr="009C2119">
        <w:rPr>
          <w:rFonts w:ascii="Verdana" w:hAnsi="Verdana"/>
          <w:color w:val="000000" w:themeColor="text1"/>
        </w:rPr>
        <w:t xml:space="preserve">не позднее </w:t>
      </w:r>
      <w:r w:rsidR="00B877FA" w:rsidRPr="009C2119">
        <w:rPr>
          <w:rFonts w:ascii="Verdana" w:hAnsi="Verdana"/>
          <w:color w:val="000000" w:themeColor="text1"/>
        </w:rPr>
        <w:t xml:space="preserve">5 </w:t>
      </w:r>
      <w:r w:rsidR="002C1077" w:rsidRPr="009C2119">
        <w:rPr>
          <w:rFonts w:ascii="Verdana" w:hAnsi="Verdana"/>
          <w:color w:val="000000" w:themeColor="text1"/>
        </w:rPr>
        <w:t>(</w:t>
      </w:r>
      <w:r w:rsidR="00B877FA" w:rsidRPr="009C2119">
        <w:rPr>
          <w:rFonts w:ascii="Verdana" w:hAnsi="Verdana"/>
          <w:color w:val="000000" w:themeColor="text1"/>
        </w:rPr>
        <w:t>пяти</w:t>
      </w:r>
      <w:r w:rsidR="002C1077" w:rsidRPr="009C2119">
        <w:rPr>
          <w:rFonts w:ascii="Verdana" w:hAnsi="Verdana"/>
          <w:color w:val="000000" w:themeColor="text1"/>
        </w:rPr>
        <w:t>)</w:t>
      </w:r>
      <w:r w:rsidR="00514071" w:rsidRPr="009C2119">
        <w:rPr>
          <w:rFonts w:ascii="Verdana" w:hAnsi="Verdana"/>
          <w:color w:val="000000" w:themeColor="text1"/>
        </w:rPr>
        <w:t xml:space="preserve"> </w:t>
      </w:r>
      <w:r w:rsidR="002C1077" w:rsidRPr="009C2119">
        <w:rPr>
          <w:rFonts w:ascii="Verdana" w:hAnsi="Verdana"/>
          <w:color w:val="000000" w:themeColor="text1"/>
        </w:rPr>
        <w:t xml:space="preserve">рабочих дней </w:t>
      </w:r>
      <w:r w:rsidR="00AF721D" w:rsidRPr="009C2119">
        <w:rPr>
          <w:rFonts w:ascii="Verdana" w:hAnsi="Verdana"/>
          <w:color w:val="000000" w:themeColor="text1"/>
        </w:rPr>
        <w:t xml:space="preserve">с даты </w:t>
      </w:r>
      <w:r w:rsidR="00B877FA" w:rsidRPr="009C2119">
        <w:rPr>
          <w:rFonts w:ascii="Verdana" w:hAnsi="Verdana"/>
          <w:color w:val="000000" w:themeColor="text1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9C2119">
        <w:rPr>
          <w:rFonts w:ascii="Verdana" w:hAnsi="Verdana"/>
          <w:color w:val="000000" w:themeColor="text1"/>
        </w:rPr>
        <w:t>.</w:t>
      </w:r>
    </w:p>
    <w:p w14:paraId="46621939" w14:textId="67A4328D" w:rsidR="007D5E49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5A3D7586" w:rsidR="00CE777E" w:rsidRPr="008509DF" w:rsidRDefault="00ED2BDC" w:rsidP="00ED2BD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4668235" w14:textId="16AF73A7" w:rsidR="00990C06" w:rsidRPr="00BA59C2" w:rsidRDefault="0059581D" w:rsidP="00990C06">
      <w:pPr>
        <w:pStyle w:val="Default"/>
        <w:jc w:val="both"/>
        <w:rPr>
          <w:sz w:val="20"/>
          <w:szCs w:val="20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</w:t>
      </w:r>
      <w:r w:rsidR="00990C06">
        <w:rPr>
          <w:rFonts w:eastAsia="Times New Roman" w:cs="Times New Roman"/>
          <w:color w:val="auto"/>
          <w:sz w:val="20"/>
          <w:szCs w:val="20"/>
          <w:lang w:eastAsia="ru-RU"/>
        </w:rPr>
        <w:t>межевание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  <w:r w:rsidR="00990C06" w:rsidRPr="00BA59C2">
        <w:rPr>
          <w:sz w:val="20"/>
          <w:szCs w:val="20"/>
        </w:rPr>
        <w:t xml:space="preserve"> 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2A42244D" w:rsidR="00703507" w:rsidRPr="008509DF" w:rsidRDefault="00ED2BDC" w:rsidP="00ED2BD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5.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5C511020" w:rsidR="008C3A91" w:rsidRPr="008509DF" w:rsidRDefault="00A232A3" w:rsidP="004340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6C0DF63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6046D651" w14:textId="77777777" w:rsidR="00434052" w:rsidRDefault="00434052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4B20796A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2.3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аккредитива </w:t>
            </w:r>
          </w:p>
        </w:tc>
        <w:tc>
          <w:tcPr>
            <w:tcW w:w="6935" w:type="dxa"/>
          </w:tcPr>
          <w:p w14:paraId="14AD62F7" w14:textId="799CA60D" w:rsidR="00073672" w:rsidRPr="001C1460" w:rsidRDefault="00ED2BDC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10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десяти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2483D0EF" w:rsidR="00566401" w:rsidRDefault="00ED2BDC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10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десяти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30C03872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3EACDAB1" w:rsidR="001D4AF6" w:rsidRPr="008509DF" w:rsidRDefault="00A34435" w:rsidP="00674D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5BDFF9D3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480D2C2A" w:rsidR="009304B4" w:rsidRPr="008509DF" w:rsidRDefault="00A34435" w:rsidP="00674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7.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674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79B88107" w:rsidR="009304B4" w:rsidRDefault="00A34435" w:rsidP="00674D16">
      <w:pPr>
        <w:pStyle w:val="a5"/>
        <w:widowControl w:val="0"/>
        <w:shd w:val="clear" w:color="auto" w:fill="FFFFFF"/>
        <w:adjustRightInd w:val="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7.1. </w:t>
      </w:r>
      <w:r w:rsidR="009304B4"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3C3A018C" w:rsidR="009304B4" w:rsidRPr="008509DF" w:rsidRDefault="009304B4" w:rsidP="0056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59ACC219" w:rsidR="00214EE9" w:rsidRPr="00214EE9" w:rsidRDefault="00214EE9" w:rsidP="002051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</w:t>
            </w:r>
            <w:r w:rsidR="0020517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полном размере и установленные сроки согласно Договору купли-продажи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0E3B96" w14:textId="098D2D4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0F51AB" w14:textId="0F3C1B4B" w:rsidR="00BA4584" w:rsidRDefault="00BA458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FD11C" w14:textId="2BEC695B" w:rsidR="00BA4584" w:rsidRDefault="00BA458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2A3FF" w14:textId="34539ADB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68A39F" w14:textId="2DCF3948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1D556C0" w14:textId="3C01C252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8892C4" w14:textId="141A39C6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272650" w14:textId="73AD2455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57D188" w14:textId="034A0F4F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3A02A5" w14:textId="333BA616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5F635A" w14:textId="7AA7D955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4497FA7" w14:textId="40622AD5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11F936" w14:textId="02469813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C9FF" w14:textId="6850C5BE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BEF05F" w14:textId="31A32A2F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B960A24" w14:textId="2F997791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8CB9C9" w14:textId="48C1BB78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41C6E8" w14:textId="297AC5F9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09ADCF" w14:textId="370DCDE5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A0A861" w14:textId="1B792417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6A4F6A" w14:textId="3B3A26A7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E99E9F" w14:textId="7942B036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6EF65D" w14:textId="10527B10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47DACC" w14:textId="4A01E1F9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46E0C7" w14:textId="3D0959DE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EF5E56" w14:textId="1965D113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1288A9" w14:textId="77777777" w:rsidR="00674D16" w:rsidRDefault="00674D16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1EB50955" w14:textId="539F10BF" w:rsidR="00BA4584" w:rsidRDefault="00BA458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525D02" w14:textId="51DDDA23" w:rsidR="00BA4584" w:rsidRDefault="00BA458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066348" w14:textId="77777777" w:rsidR="00BA4584" w:rsidRDefault="00BA458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2BBB82A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3834A60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56D18174" w14:textId="77777777" w:rsidR="00E1495F" w:rsidRPr="008509DF" w:rsidRDefault="00E1495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05F1FC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582DF867" w:rsidR="00DD5861" w:rsidRDefault="00DD5861" w:rsidP="00563B4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F2E9B35" w14:textId="39CC935F" w:rsidR="00563B4E" w:rsidRDefault="00BA4584" w:rsidP="00563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4584">
        <w:rPr>
          <w:rFonts w:ascii="Verdana" w:eastAsia="Times New Roman" w:hAnsi="Verdana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расположенный по адресу: установлено относительно ориентира, расположенного за пределами участка. Ориентир Юго-западная окраина п.Новоселки. Участок находится примерно в от ориентира по направлению на Участок находится примерно в 40 м, по направлению на юго-запад от ориентира.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A45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Почтовый адрес ориентира: обл. Московская, р-н Каширский, п. Новоселки, с кадастровым номером 50:37:0000000:131, площадью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BA45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1 220 450 кв. м </w:t>
      </w:r>
      <w:r w:rsidR="00563B4E" w:rsidRPr="00563B4E">
        <w:rPr>
          <w:rFonts w:ascii="Verdana" w:eastAsia="Times New Roman" w:hAnsi="Verdana" w:cs="Times New Roman"/>
          <w:sz w:val="20"/>
          <w:szCs w:val="20"/>
          <w:lang w:eastAsia="ru-RU"/>
        </w:rPr>
        <w:t>(далее – «Недвижимое имущество»);</w:t>
      </w:r>
    </w:p>
    <w:p w14:paraId="09126DA8" w14:textId="7B177D4B" w:rsidR="00DD5861" w:rsidRPr="008509DF" w:rsidRDefault="00DD5861" w:rsidP="00563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18A33D1C" w14:textId="5A350F6B" w:rsidR="00AB23A0" w:rsidRPr="002355AE" w:rsidRDefault="00DD5861" w:rsidP="00BA4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состоянию и документационной укомплектованности отсутствуют.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05170" w:rsidRPr="0055668A" w14:paraId="7C81AE9A" w14:textId="77777777" w:rsidTr="0024154C">
        <w:tc>
          <w:tcPr>
            <w:tcW w:w="2411" w:type="dxa"/>
            <w:shd w:val="clear" w:color="auto" w:fill="auto"/>
          </w:tcPr>
          <w:p w14:paraId="3E3848D0" w14:textId="77777777" w:rsidR="00205170" w:rsidRPr="0055668A" w:rsidRDefault="00205170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04E30ED" w14:textId="77777777" w:rsidR="00205170" w:rsidRPr="0055668A" w:rsidRDefault="00205170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22B7B403" w14:textId="77777777" w:rsidR="00205170" w:rsidRPr="0055668A" w:rsidRDefault="00205170" w:rsidP="0024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05170" w:rsidRPr="0055668A" w14:paraId="79F1D873" w14:textId="77777777" w:rsidTr="0024154C">
        <w:tc>
          <w:tcPr>
            <w:tcW w:w="2411" w:type="dxa"/>
            <w:shd w:val="clear" w:color="auto" w:fill="auto"/>
          </w:tcPr>
          <w:p w14:paraId="16145025" w14:textId="77777777" w:rsidR="00205170" w:rsidRPr="0055668A" w:rsidRDefault="00205170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24535B35" w14:textId="77777777" w:rsidR="00205170" w:rsidRPr="0055668A" w:rsidRDefault="00205170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CDEC9D6" w14:textId="77777777" w:rsidR="00205170" w:rsidRPr="0055668A" w:rsidRDefault="00205170" w:rsidP="0024154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7C4E67AF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EC8CCC" w14:textId="040E7D3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E709B7" w14:textId="3DE9CD5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7800FD" w14:textId="529939F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5178A5" w14:textId="46EEB030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E9FE20" w14:textId="2607807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D880F8" w14:textId="3A81B9F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C8FE5F" w14:textId="38599F0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3737AC" w14:textId="2913C8C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094E41" w14:textId="562406D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7D68D" w14:textId="57A081E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A43FA1" w14:textId="3DCC793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238D8" w14:textId="0544FF8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0B8BAD" w14:textId="1C84785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087CD7" w14:textId="31B23D1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DE44F1" w14:textId="72A7DFB3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3DCBD1" w14:textId="673F0020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F4B07A" w14:textId="297C64C2" w:rsidR="00BA4584" w:rsidRDefault="00BA45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3224BE" w14:textId="72A71400" w:rsidR="00BA4584" w:rsidRDefault="00BA45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B735BF" w14:textId="67523378" w:rsidR="00BA4584" w:rsidRDefault="00BA45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8D79CE" w14:textId="71246DE0" w:rsidR="00BA4584" w:rsidRDefault="00BA45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9827BC" w14:textId="77777777" w:rsidR="00BA4584" w:rsidRDefault="00BA45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81A2F0" w14:textId="7270029D" w:rsidR="00563B4E" w:rsidRDefault="00563B4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143F0" w14:textId="77777777" w:rsidR="00563B4E" w:rsidRDefault="00563B4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82DBE6" w14:textId="6A6B9A8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28157F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6589E19" w14:textId="77777777" w:rsidR="00734194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4"/>
      </w:tblGrid>
      <w:tr w:rsidR="00734194" w:rsidRPr="00734194" w14:paraId="40958867" w14:textId="77777777">
        <w:trPr>
          <w:trHeight w:val="339"/>
        </w:trPr>
        <w:tc>
          <w:tcPr>
            <w:tcW w:w="7124" w:type="dxa"/>
          </w:tcPr>
          <w:p w14:paraId="30B5F3E8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5A993216" w14:textId="77777777" w:rsidR="001B0466" w:rsidRDefault="001B0466" w:rsidP="001B0466">
            <w:pPr>
              <w:pStyle w:val="af2"/>
              <w:jc w:val="both"/>
            </w:pPr>
            <w:r w:rsidRPr="0010369A">
              <w:rPr>
                <w:rFonts w:ascii="Verdana" w:hAnsi="Verdana"/>
                <w:color w:val="FF0000"/>
                <w:sz w:val="16"/>
                <w:szCs w:val="16"/>
              </w:rPr>
      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      </w:r>
          </w:p>
          <w:p w14:paraId="6D93223E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3ECF1BD" w14:textId="63B809B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F56931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5BA818EC" w14:textId="029E9499" w:rsidR="001B0466" w:rsidRDefault="001B0466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2A4C23B" w14:textId="18B75780" w:rsidR="00734194" w:rsidRPr="008509DF" w:rsidRDefault="00734194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B0466" w:rsidRPr="006C3312" w14:paraId="4517E142" w14:textId="77777777" w:rsidTr="0024154C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4AF462" w14:textId="77777777" w:rsidR="001B0466" w:rsidRPr="000C2791" w:rsidRDefault="001B0466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</w:p>
          <w:p w14:paraId="118E54C8" w14:textId="77777777" w:rsidR="001B0466" w:rsidRPr="000C2791" w:rsidRDefault="001B0466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установления залога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Кредитора  при  оплате кредитными средствами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735D4" w14:textId="77777777" w:rsidR="001B0466" w:rsidRPr="000C2791" w:rsidRDefault="001B0466" w:rsidP="0024154C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58B8D032" w14:textId="77777777" w:rsidR="001B0466" w:rsidRPr="006C3312" w:rsidRDefault="001B0466" w:rsidP="0024154C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 Кредитора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419DBE0C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r w:rsidR="00A37C3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388E0DE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2DEA284D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FC3F8" w14:textId="77777777" w:rsidR="00996D52" w:rsidRDefault="00996D52" w:rsidP="00E33D4F">
      <w:pPr>
        <w:spacing w:after="0" w:line="240" w:lineRule="auto"/>
      </w:pPr>
      <w:r>
        <w:separator/>
      </w:r>
    </w:p>
  </w:endnote>
  <w:endnote w:type="continuationSeparator" w:id="0">
    <w:p w14:paraId="311F8095" w14:textId="77777777" w:rsidR="00996D52" w:rsidRDefault="00996D5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2C84FFA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D16">
          <w:rPr>
            <w:noProof/>
          </w:rPr>
          <w:t>11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F977" w14:textId="77777777" w:rsidR="00996D52" w:rsidRDefault="00996D52" w:rsidP="00E33D4F">
      <w:pPr>
        <w:spacing w:after="0" w:line="240" w:lineRule="auto"/>
      </w:pPr>
      <w:r>
        <w:separator/>
      </w:r>
    </w:p>
  </w:footnote>
  <w:footnote w:type="continuationSeparator" w:id="0">
    <w:p w14:paraId="03A0EA10" w14:textId="77777777" w:rsidR="00996D52" w:rsidRDefault="00996D5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DD85818"/>
    <w:multiLevelType w:val="multilevel"/>
    <w:tmpl w:val="DDF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6" w15:restartNumberingAfterBreak="0">
    <w:nsid w:val="4A706335"/>
    <w:multiLevelType w:val="multilevel"/>
    <w:tmpl w:val="6F4AE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26"/>
  </w:num>
  <w:num w:numId="18">
    <w:abstractNumId w:val="13"/>
  </w:num>
  <w:num w:numId="19">
    <w:abstractNumId w:val="7"/>
  </w:num>
  <w:num w:numId="20">
    <w:abstractNumId w:val="20"/>
  </w:num>
  <w:num w:numId="21">
    <w:abstractNumId w:val="14"/>
  </w:num>
  <w:num w:numId="22">
    <w:abstractNumId w:val="17"/>
  </w:num>
  <w:num w:numId="23">
    <w:abstractNumId w:val="9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8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856E3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7E5"/>
    <w:rsid w:val="000B32D0"/>
    <w:rsid w:val="000B3E5F"/>
    <w:rsid w:val="000B60D2"/>
    <w:rsid w:val="000C094A"/>
    <w:rsid w:val="000C2791"/>
    <w:rsid w:val="000C2F08"/>
    <w:rsid w:val="000C34A2"/>
    <w:rsid w:val="000C3AAC"/>
    <w:rsid w:val="000C51AA"/>
    <w:rsid w:val="000C60F6"/>
    <w:rsid w:val="000C62A8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614B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0466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3FBE"/>
    <w:rsid w:val="001F4445"/>
    <w:rsid w:val="001F589A"/>
    <w:rsid w:val="0020177F"/>
    <w:rsid w:val="002021CA"/>
    <w:rsid w:val="0020454D"/>
    <w:rsid w:val="00205170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940"/>
    <w:rsid w:val="00224B29"/>
    <w:rsid w:val="00224EF7"/>
    <w:rsid w:val="00224F8A"/>
    <w:rsid w:val="002269F2"/>
    <w:rsid w:val="00226C9D"/>
    <w:rsid w:val="00227065"/>
    <w:rsid w:val="002334FB"/>
    <w:rsid w:val="002355AE"/>
    <w:rsid w:val="00235F4F"/>
    <w:rsid w:val="00241454"/>
    <w:rsid w:val="00241924"/>
    <w:rsid w:val="0024215A"/>
    <w:rsid w:val="0024316C"/>
    <w:rsid w:val="00243A43"/>
    <w:rsid w:val="00243A44"/>
    <w:rsid w:val="0024448B"/>
    <w:rsid w:val="00244D88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1FC8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5614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0BE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4CD7"/>
    <w:rsid w:val="003A6081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5C92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C92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1744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0F0B"/>
    <w:rsid w:val="00434052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BE7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38B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3B4E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2EE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4D16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194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111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295"/>
    <w:rsid w:val="008C4BD7"/>
    <w:rsid w:val="008C50DA"/>
    <w:rsid w:val="008C5CF2"/>
    <w:rsid w:val="008C63A5"/>
    <w:rsid w:val="008C6495"/>
    <w:rsid w:val="008D1588"/>
    <w:rsid w:val="008D2260"/>
    <w:rsid w:val="008D2940"/>
    <w:rsid w:val="008D3FC0"/>
    <w:rsid w:val="008D5BEC"/>
    <w:rsid w:val="008D6A51"/>
    <w:rsid w:val="008E6873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5B7"/>
    <w:rsid w:val="008F74DF"/>
    <w:rsid w:val="00903350"/>
    <w:rsid w:val="00903F42"/>
    <w:rsid w:val="00903F5B"/>
    <w:rsid w:val="00907F4E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0C06"/>
    <w:rsid w:val="00992E56"/>
    <w:rsid w:val="00996767"/>
    <w:rsid w:val="0099685B"/>
    <w:rsid w:val="00996C30"/>
    <w:rsid w:val="00996D52"/>
    <w:rsid w:val="009A165A"/>
    <w:rsid w:val="009A2207"/>
    <w:rsid w:val="009A49D7"/>
    <w:rsid w:val="009A5ABC"/>
    <w:rsid w:val="009A5D85"/>
    <w:rsid w:val="009B145F"/>
    <w:rsid w:val="009B1E70"/>
    <w:rsid w:val="009B4930"/>
    <w:rsid w:val="009B5AB0"/>
    <w:rsid w:val="009B7AD1"/>
    <w:rsid w:val="009C054D"/>
    <w:rsid w:val="009C2001"/>
    <w:rsid w:val="009C2119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6A1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4435"/>
    <w:rsid w:val="00A369DD"/>
    <w:rsid w:val="00A3776A"/>
    <w:rsid w:val="00A379EA"/>
    <w:rsid w:val="00A37C3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02F"/>
    <w:rsid w:val="00A77877"/>
    <w:rsid w:val="00A80F6F"/>
    <w:rsid w:val="00A81BE4"/>
    <w:rsid w:val="00A85827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3F5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BD9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4FD0"/>
    <w:rsid w:val="00BA0264"/>
    <w:rsid w:val="00BA030C"/>
    <w:rsid w:val="00BA266F"/>
    <w:rsid w:val="00BA438A"/>
    <w:rsid w:val="00BA4584"/>
    <w:rsid w:val="00BA46FD"/>
    <w:rsid w:val="00BA5903"/>
    <w:rsid w:val="00BA59C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BB3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5C9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A6F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183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03A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291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05D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495F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2BDC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A8D"/>
    <w:rsid w:val="00EE6E60"/>
    <w:rsid w:val="00EF3982"/>
    <w:rsid w:val="00EF3CB7"/>
    <w:rsid w:val="00EF43CC"/>
    <w:rsid w:val="00EF619B"/>
    <w:rsid w:val="00F00A51"/>
    <w:rsid w:val="00F022A3"/>
    <w:rsid w:val="00F06D44"/>
    <w:rsid w:val="00F0727B"/>
    <w:rsid w:val="00F07D0B"/>
    <w:rsid w:val="00F10B20"/>
    <w:rsid w:val="00F12813"/>
    <w:rsid w:val="00F1328F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3196-0E48-4659-9480-0580283E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9</cp:revision>
  <cp:lastPrinted>2019-10-21T13:14:00Z</cp:lastPrinted>
  <dcterms:created xsi:type="dcterms:W3CDTF">2021-10-27T11:25:00Z</dcterms:created>
  <dcterms:modified xsi:type="dcterms:W3CDTF">2021-10-28T11:13:00Z</dcterms:modified>
</cp:coreProperties>
</file>