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3C3AFB">
        <w:rPr>
          <w:rFonts w:ascii="Times New Roman" w:hAnsi="Times New Roman"/>
          <w:b/>
          <w:bCs/>
          <w:szCs w:val="24"/>
          <w:lang w:val="ru-RU"/>
        </w:rPr>
        <w:t>а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3C3AFB">
        <w:rPr>
          <w:rFonts w:ascii="Times New Roman" w:hAnsi="Times New Roman"/>
          <w:b/>
          <w:bCs/>
          <w:szCs w:val="24"/>
          <w:lang w:val="ru-RU"/>
        </w:rPr>
        <w:t xml:space="preserve">егося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FA0ED6">
        <w:rPr>
          <w:rFonts w:ascii="Times New Roman" w:hAnsi="Times New Roman"/>
          <w:b/>
          <w:bCs/>
          <w:szCs w:val="24"/>
          <w:lang w:val="ru-RU"/>
        </w:rPr>
        <w:t>2</w:t>
      </w:r>
      <w:r w:rsidR="00E650F2">
        <w:rPr>
          <w:rFonts w:ascii="Times New Roman" w:hAnsi="Times New Roman"/>
          <w:b/>
          <w:bCs/>
          <w:szCs w:val="24"/>
          <w:lang w:val="ru-RU"/>
        </w:rPr>
        <w:t>3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E650F2">
        <w:rPr>
          <w:rFonts w:ascii="Times New Roman" w:hAnsi="Times New Roman"/>
          <w:b/>
          <w:bCs/>
          <w:szCs w:val="24"/>
          <w:lang w:val="ru-RU"/>
        </w:rPr>
        <w:t xml:space="preserve">декабря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3B350C">
        <w:rPr>
          <w:rFonts w:ascii="Times New Roman" w:hAnsi="Times New Roman"/>
          <w:b/>
          <w:bCs/>
          <w:szCs w:val="24"/>
          <w:lang w:val="ru-RU"/>
        </w:rPr>
        <w:t>2</w:t>
      </w:r>
      <w:r w:rsidR="00A1555C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FA0ED6">
        <w:rPr>
          <w:rFonts w:ascii="Times New Roman" w:hAnsi="Times New Roman"/>
          <w:b/>
          <w:bCs/>
          <w:szCs w:val="24"/>
          <w:lang w:val="ru-RU"/>
        </w:rPr>
        <w:t>2</w:t>
      </w:r>
      <w:r w:rsidR="00E650F2">
        <w:rPr>
          <w:rFonts w:ascii="Times New Roman" w:hAnsi="Times New Roman"/>
          <w:b/>
          <w:bCs/>
          <w:szCs w:val="24"/>
          <w:lang w:val="ru-RU"/>
        </w:rPr>
        <w:t>3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650F2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EF554D">
        <w:rPr>
          <w:rFonts w:ascii="Times New Roman" w:hAnsi="Times New Roman"/>
          <w:b/>
          <w:bCs/>
          <w:szCs w:val="24"/>
          <w:lang w:val="ru-RU"/>
        </w:rPr>
        <w:t>2</w:t>
      </w:r>
      <w:r w:rsidR="00FA0ED6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FA0ED6">
        <w:rPr>
          <w:rFonts w:ascii="Times New Roman" w:hAnsi="Times New Roman"/>
          <w:b/>
          <w:bCs/>
          <w:szCs w:val="24"/>
          <w:lang w:val="ru-RU"/>
        </w:rPr>
        <w:t>2</w:t>
      </w:r>
      <w:r w:rsidR="00E650F2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650F2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3B350C">
        <w:rPr>
          <w:rFonts w:ascii="Times New Roman" w:hAnsi="Times New Roman"/>
          <w:b/>
          <w:bCs/>
          <w:szCs w:val="24"/>
          <w:lang w:val="ru-RU"/>
        </w:rPr>
        <w:t>2</w:t>
      </w:r>
      <w:r w:rsidR="00A1555C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FA0ED6">
        <w:rPr>
          <w:rFonts w:ascii="Times New Roman" w:hAnsi="Times New Roman"/>
          <w:b/>
          <w:bCs/>
          <w:szCs w:val="24"/>
          <w:lang w:val="ru-RU"/>
        </w:rPr>
        <w:t>2</w:t>
      </w:r>
      <w:r w:rsidR="00E650F2">
        <w:rPr>
          <w:rFonts w:ascii="Times New Roman" w:hAnsi="Times New Roman"/>
          <w:b/>
          <w:bCs/>
          <w:szCs w:val="24"/>
          <w:lang w:val="ru-RU"/>
        </w:rPr>
        <w:t>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FA0ED6">
        <w:rPr>
          <w:rFonts w:ascii="Times New Roman" w:hAnsi="Times New Roman"/>
          <w:b/>
          <w:bCs/>
          <w:szCs w:val="24"/>
          <w:lang w:val="ru-RU"/>
        </w:rPr>
        <w:t>1</w:t>
      </w:r>
      <w:r w:rsidR="00E650F2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3B350C">
        <w:rPr>
          <w:rFonts w:ascii="Times New Roman" w:hAnsi="Times New Roman"/>
          <w:b/>
          <w:bCs/>
          <w:szCs w:val="24"/>
          <w:lang w:val="ru-RU"/>
        </w:rPr>
        <w:t>2</w:t>
      </w:r>
      <w:r w:rsidR="00A1555C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FA0ED6">
        <w:rPr>
          <w:rFonts w:ascii="Times New Roman" w:hAnsi="Times New Roman"/>
          <w:b/>
          <w:bCs/>
          <w:szCs w:val="24"/>
          <w:lang w:val="ru-RU"/>
        </w:rPr>
        <w:t>2</w:t>
      </w:r>
      <w:r w:rsidR="00E650F2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E650F2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bookmarkStart w:id="0" w:name="_GoBack"/>
      <w:bookmarkEnd w:id="0"/>
      <w:r w:rsidR="003B350C">
        <w:rPr>
          <w:rFonts w:ascii="Times New Roman" w:hAnsi="Times New Roman"/>
          <w:b/>
          <w:bCs/>
          <w:szCs w:val="24"/>
          <w:lang w:val="ru-RU"/>
        </w:rPr>
        <w:t>2</w:t>
      </w:r>
      <w:r w:rsidR="00A1555C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EF554D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Объектах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FA0ED6" w:rsidRPr="00FA0ED6" w:rsidRDefault="00FA0ED6" w:rsidP="00FA0ED6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FA0ED6">
        <w:rPr>
          <w:rFonts w:ascii="Times New Roman" w:hAnsi="Times New Roman"/>
          <w:b/>
          <w:szCs w:val="24"/>
          <w:lang w:val="ru-RU"/>
        </w:rPr>
        <w:t xml:space="preserve">Лот 1: </w:t>
      </w:r>
    </w:p>
    <w:p w:rsidR="00FA0ED6" w:rsidRPr="00FA0ED6" w:rsidRDefault="00FA0ED6" w:rsidP="00FA0ED6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 xml:space="preserve">          Нежилое помещение, расположенное по адресу: г. Москва, ул. </w:t>
      </w:r>
      <w:proofErr w:type="spellStart"/>
      <w:r w:rsidRPr="00FA0ED6">
        <w:rPr>
          <w:rFonts w:ascii="Times New Roman" w:hAnsi="Times New Roman"/>
          <w:szCs w:val="24"/>
          <w:lang w:val="ru-RU"/>
        </w:rPr>
        <w:t>Сретенка</w:t>
      </w:r>
      <w:proofErr w:type="spellEnd"/>
      <w:r w:rsidRPr="00FA0ED6">
        <w:rPr>
          <w:rFonts w:ascii="Times New Roman" w:hAnsi="Times New Roman"/>
          <w:szCs w:val="24"/>
          <w:lang w:val="ru-RU"/>
        </w:rPr>
        <w:t xml:space="preserve">, д.17, стр. 1-2,  общей площадью 3 730,1 </w:t>
      </w:r>
      <w:proofErr w:type="spellStart"/>
      <w:r w:rsidRPr="00FA0ED6">
        <w:rPr>
          <w:rFonts w:ascii="Times New Roman" w:hAnsi="Times New Roman"/>
          <w:szCs w:val="24"/>
          <w:lang w:val="ru-RU"/>
        </w:rPr>
        <w:t>кв</w:t>
      </w:r>
      <w:proofErr w:type="gramStart"/>
      <w:r w:rsidRPr="00FA0ED6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FA0ED6">
        <w:rPr>
          <w:rFonts w:ascii="Times New Roman" w:hAnsi="Times New Roman"/>
          <w:szCs w:val="24"/>
          <w:lang w:val="ru-RU"/>
        </w:rPr>
        <w:t xml:space="preserve">, с кадастровым номером 77:01:0001090:3084, подвал пом. </w:t>
      </w:r>
      <w:proofErr w:type="gramStart"/>
      <w:r w:rsidRPr="00FA0ED6">
        <w:rPr>
          <w:rFonts w:ascii="Times New Roman" w:hAnsi="Times New Roman"/>
          <w:szCs w:val="24"/>
        </w:rPr>
        <w:t>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A0ED6">
        <w:rPr>
          <w:rFonts w:ascii="Times New Roman" w:hAnsi="Times New Roman"/>
          <w:szCs w:val="24"/>
          <w:lang w:val="ru-RU"/>
        </w:rPr>
        <w:t>Б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, В, Г, Д, в, 1-45, пом. </w:t>
      </w:r>
      <w:proofErr w:type="gramStart"/>
      <w:r w:rsidRPr="00FA0ED6">
        <w:rPr>
          <w:rFonts w:ascii="Times New Roman" w:hAnsi="Times New Roman"/>
          <w:szCs w:val="24"/>
        </w:rPr>
        <w:t>II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1, 1а, 2-26, этаж 1, пом. </w:t>
      </w:r>
      <w:proofErr w:type="gramStart"/>
      <w:r w:rsidRPr="00FA0ED6">
        <w:rPr>
          <w:rFonts w:ascii="Times New Roman" w:hAnsi="Times New Roman"/>
          <w:szCs w:val="24"/>
        </w:rPr>
        <w:t>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Б, В, Г, Д, в</w:t>
      </w:r>
      <w:proofErr w:type="gramStart"/>
      <w:r w:rsidRPr="00FA0ED6">
        <w:rPr>
          <w:rFonts w:ascii="Times New Roman" w:hAnsi="Times New Roman"/>
          <w:szCs w:val="24"/>
          <w:lang w:val="ru-RU"/>
        </w:rPr>
        <w:t>1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, 1-4, 4а, 5-24, 24а, 24б, 24в, 24г, 25-43, пом. </w:t>
      </w:r>
      <w:proofErr w:type="gramStart"/>
      <w:r w:rsidRPr="00FA0ED6">
        <w:rPr>
          <w:rFonts w:ascii="Times New Roman" w:hAnsi="Times New Roman"/>
          <w:szCs w:val="24"/>
        </w:rPr>
        <w:t>II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1, 2, пом. </w:t>
      </w:r>
      <w:proofErr w:type="gramStart"/>
      <w:r w:rsidRPr="00FA0ED6">
        <w:rPr>
          <w:rFonts w:ascii="Times New Roman" w:hAnsi="Times New Roman"/>
          <w:szCs w:val="24"/>
        </w:rPr>
        <w:t>III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1, этаж 2, пом. </w:t>
      </w:r>
      <w:proofErr w:type="gramStart"/>
      <w:r w:rsidRPr="00FA0ED6">
        <w:rPr>
          <w:rFonts w:ascii="Times New Roman" w:hAnsi="Times New Roman"/>
          <w:szCs w:val="24"/>
        </w:rPr>
        <w:t>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А, Б, 1-16, 16а, 17-45, мансарда, пом. </w:t>
      </w:r>
      <w:proofErr w:type="gramStart"/>
      <w:r w:rsidRPr="00FA0ED6">
        <w:rPr>
          <w:rFonts w:ascii="Times New Roman" w:hAnsi="Times New Roman"/>
          <w:szCs w:val="24"/>
        </w:rPr>
        <w:t>I</w:t>
      </w:r>
      <w:r w:rsidRPr="00FA0ED6">
        <w:rPr>
          <w:rFonts w:ascii="Times New Roman" w:hAnsi="Times New Roman"/>
          <w:szCs w:val="24"/>
          <w:lang w:val="ru-RU"/>
        </w:rPr>
        <w:t>, комн.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А, Б, 1-41. </w:t>
      </w:r>
    </w:p>
    <w:p w:rsidR="00FA0ED6" w:rsidRPr="00FA0ED6" w:rsidRDefault="00FA0ED6" w:rsidP="00FA0ED6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FA0ED6">
        <w:rPr>
          <w:rFonts w:ascii="Times New Roman" w:hAnsi="Times New Roman"/>
          <w:b/>
          <w:szCs w:val="24"/>
          <w:lang w:val="ru-RU"/>
        </w:rPr>
        <w:t>Существующие ограничения (обременения) права:</w:t>
      </w:r>
      <w:r w:rsidRPr="00FA0ED6">
        <w:rPr>
          <w:rFonts w:ascii="Times New Roman" w:hAnsi="Times New Roman"/>
          <w:szCs w:val="24"/>
          <w:lang w:val="ru-RU"/>
        </w:rPr>
        <w:t xml:space="preserve"> объект «Городская купеческая усадьба (Кирьяновых), кон. </w:t>
      </w:r>
      <w:proofErr w:type="gramStart"/>
      <w:r w:rsidRPr="00FA0ED6">
        <w:rPr>
          <w:rFonts w:ascii="Times New Roman" w:hAnsi="Times New Roman"/>
          <w:szCs w:val="24"/>
        </w:rPr>
        <w:t>XVIII</w:t>
      </w:r>
      <w:r w:rsidRPr="00FA0ED6">
        <w:rPr>
          <w:rFonts w:ascii="Times New Roman" w:hAnsi="Times New Roman"/>
          <w:szCs w:val="24"/>
          <w:lang w:val="ru-RU"/>
        </w:rPr>
        <w:t xml:space="preserve"> – 1-я пол.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A0ED6">
        <w:rPr>
          <w:rFonts w:ascii="Times New Roman" w:hAnsi="Times New Roman"/>
          <w:szCs w:val="24"/>
        </w:rPr>
        <w:t>XIX</w:t>
      </w:r>
      <w:r w:rsidRPr="00FA0ED6">
        <w:rPr>
          <w:rFonts w:ascii="Times New Roman" w:hAnsi="Times New Roman"/>
          <w:szCs w:val="24"/>
          <w:lang w:val="ru-RU"/>
        </w:rPr>
        <w:t xml:space="preserve"> в. – Флигель, нач.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</w:t>
      </w:r>
      <w:r w:rsidRPr="00FA0ED6">
        <w:rPr>
          <w:rFonts w:ascii="Times New Roman" w:hAnsi="Times New Roman"/>
          <w:szCs w:val="24"/>
        </w:rPr>
        <w:t>XIX</w:t>
      </w:r>
      <w:r w:rsidRPr="00FA0ED6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A0ED6">
        <w:rPr>
          <w:rFonts w:ascii="Times New Roman" w:hAnsi="Times New Roman"/>
          <w:szCs w:val="24"/>
          <w:lang w:val="ru-RU"/>
        </w:rPr>
        <w:t>в.,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1880-е гг.», относится к объектам культурного наследия регионального значения (памятника), объект «Дом, в котором в 1890-х гг. жил скульптор С.М. </w:t>
      </w:r>
      <w:proofErr w:type="spellStart"/>
      <w:r w:rsidRPr="00FA0ED6">
        <w:rPr>
          <w:rFonts w:ascii="Times New Roman" w:hAnsi="Times New Roman"/>
          <w:szCs w:val="24"/>
          <w:lang w:val="ru-RU"/>
        </w:rPr>
        <w:t>Волнухин</w:t>
      </w:r>
      <w:proofErr w:type="spellEnd"/>
      <w:r w:rsidRPr="00FA0ED6">
        <w:rPr>
          <w:rFonts w:ascii="Times New Roman" w:hAnsi="Times New Roman"/>
          <w:szCs w:val="24"/>
          <w:lang w:val="ru-RU"/>
        </w:rPr>
        <w:t xml:space="preserve"> - автор памятника первопечатнику Ивану Федорову в Москве главный дом, кон. </w:t>
      </w:r>
      <w:r w:rsidRPr="00FA0ED6">
        <w:rPr>
          <w:rFonts w:ascii="Times New Roman" w:hAnsi="Times New Roman"/>
          <w:szCs w:val="24"/>
        </w:rPr>
        <w:t>XVIII</w:t>
      </w:r>
      <w:r w:rsidRPr="00FA0ED6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A0ED6">
        <w:rPr>
          <w:rFonts w:ascii="Times New Roman" w:hAnsi="Times New Roman"/>
          <w:szCs w:val="24"/>
          <w:lang w:val="ru-RU"/>
        </w:rPr>
        <w:t>в.,</w:t>
      </w:r>
      <w:proofErr w:type="gramEnd"/>
      <w:r w:rsidRPr="00FA0ED6">
        <w:rPr>
          <w:rFonts w:ascii="Times New Roman" w:hAnsi="Times New Roman"/>
          <w:szCs w:val="24"/>
          <w:lang w:val="ru-RU"/>
        </w:rPr>
        <w:t xml:space="preserve"> 1880-е гг.» относится к объектам культурного наследия регионального значения. Обязательства по сохранению объекта: </w:t>
      </w:r>
    </w:p>
    <w:p w:rsidR="00FA0ED6" w:rsidRPr="00FA0ED6" w:rsidRDefault="00FA0ED6" w:rsidP="00FA0ED6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>- охранное обязательство 16-12/27 от 08.08.1994 г., утвержденное приказом Министерства культуры СССР от 13.05.1986 г.  № 203;</w:t>
      </w:r>
    </w:p>
    <w:p w:rsidR="00FA0ED6" w:rsidRPr="00FA0ED6" w:rsidRDefault="00FA0ED6" w:rsidP="00FA0ED6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>- охранное обязательство, утвержденное приказом Правительства Москвы от 29.03.2019 г.  № 225.</w:t>
      </w:r>
    </w:p>
    <w:p w:rsidR="00FA0ED6" w:rsidRDefault="00FA0ED6" w:rsidP="00FA0ED6">
      <w:pPr>
        <w:ind w:right="-57"/>
        <w:contextualSpacing/>
        <w:jc w:val="both"/>
        <w:rPr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>На объекте произведена перепланировка, не согласованная в установленном порядке</w:t>
      </w:r>
      <w:r w:rsidRPr="00FA0ED6">
        <w:rPr>
          <w:lang w:val="ru-RU"/>
        </w:rPr>
        <w:t>.</w:t>
      </w:r>
    </w:p>
    <w:p w:rsidR="00FA0ED6" w:rsidRPr="00FA0ED6" w:rsidRDefault="00FA0ED6" w:rsidP="00FA0ED6">
      <w:pPr>
        <w:ind w:right="-57"/>
        <w:contextualSpacing/>
        <w:jc w:val="both"/>
        <w:rPr>
          <w:lang w:val="ru-RU"/>
        </w:rPr>
      </w:pPr>
      <w:r w:rsidRPr="00FA0ED6">
        <w:rPr>
          <w:lang w:val="ru-RU"/>
        </w:rPr>
        <w:t>Обязательства по выполнению предписания Департамента культурного наследия города Москвы (</w:t>
      </w:r>
      <w:proofErr w:type="spellStart"/>
      <w:r w:rsidRPr="00FA0ED6">
        <w:rPr>
          <w:lang w:val="ru-RU"/>
        </w:rPr>
        <w:t>Мосгорнаследие</w:t>
      </w:r>
      <w:proofErr w:type="spellEnd"/>
      <w:r w:rsidRPr="00FA0ED6">
        <w:rPr>
          <w:lang w:val="ru-RU"/>
        </w:rPr>
        <w:t>) от 21.04.2021 №ДКН-16-44-75/20-1 по сохранению Объекта и его территории, переходят к Покупателю</w:t>
      </w:r>
      <w:r>
        <w:rPr>
          <w:lang w:val="ru-RU"/>
        </w:rPr>
        <w:t xml:space="preserve">. </w:t>
      </w:r>
    </w:p>
    <w:p w:rsidR="00FA0ED6" w:rsidRPr="00FA0ED6" w:rsidRDefault="00FA0ED6" w:rsidP="00FA0ED6">
      <w:pPr>
        <w:ind w:right="-57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>Одновременно с передачей права собственности на Объект к Покупателю переходит право аренды Земельного участка</w:t>
      </w:r>
      <w:r w:rsidRPr="00FA0ED6">
        <w:rPr>
          <w:rFonts w:ascii="Times New Roman" w:hAnsi="Times New Roman"/>
          <w:iCs/>
          <w:szCs w:val="24"/>
          <w:lang w:val="ru-RU"/>
        </w:rPr>
        <w:t xml:space="preserve">, площадью 2500 </w:t>
      </w:r>
      <w:proofErr w:type="spellStart"/>
      <w:r w:rsidRPr="00FA0ED6">
        <w:rPr>
          <w:rFonts w:ascii="Times New Roman" w:hAnsi="Times New Roman"/>
          <w:iCs/>
          <w:szCs w:val="24"/>
          <w:lang w:val="ru-RU"/>
        </w:rPr>
        <w:t>кв.м</w:t>
      </w:r>
      <w:proofErr w:type="spellEnd"/>
      <w:r w:rsidRPr="00FA0ED6">
        <w:rPr>
          <w:rFonts w:ascii="Times New Roman" w:hAnsi="Times New Roman"/>
          <w:iCs/>
          <w:szCs w:val="24"/>
          <w:lang w:val="ru-RU"/>
        </w:rPr>
        <w:t>., кадастровый номер:</w:t>
      </w:r>
      <w:r w:rsidRPr="00FA0ED6">
        <w:rPr>
          <w:rFonts w:ascii="Times New Roman" w:hAnsi="Times New Roman"/>
          <w:color w:val="002060"/>
          <w:kern w:val="24"/>
          <w:szCs w:val="24"/>
          <w:lang w:val="ru-RU"/>
        </w:rPr>
        <w:t xml:space="preserve"> </w:t>
      </w:r>
      <w:r w:rsidRPr="00FA0ED6">
        <w:rPr>
          <w:rFonts w:ascii="Times New Roman" w:hAnsi="Times New Roman"/>
          <w:kern w:val="24"/>
          <w:szCs w:val="24"/>
          <w:lang w:val="ru-RU"/>
        </w:rPr>
        <w:t>77:01:0001090:24</w:t>
      </w:r>
      <w:r w:rsidRPr="00FA0ED6">
        <w:rPr>
          <w:rFonts w:ascii="Times New Roman" w:hAnsi="Times New Roman"/>
          <w:iCs/>
          <w:szCs w:val="24"/>
          <w:lang w:val="ru-RU"/>
        </w:rPr>
        <w:t xml:space="preserve"> адрес ориентира: г. Москва, во вл. 17, стр. 1,2 по ул. </w:t>
      </w:r>
      <w:proofErr w:type="spellStart"/>
      <w:r w:rsidRPr="00FA0ED6">
        <w:rPr>
          <w:rFonts w:ascii="Times New Roman" w:hAnsi="Times New Roman"/>
          <w:iCs/>
          <w:szCs w:val="24"/>
          <w:lang w:val="ru-RU"/>
        </w:rPr>
        <w:t>Сретенка</w:t>
      </w:r>
      <w:proofErr w:type="spellEnd"/>
      <w:r w:rsidRPr="00FA0ED6">
        <w:rPr>
          <w:rFonts w:ascii="Times New Roman" w:hAnsi="Times New Roman"/>
          <w:iCs/>
          <w:szCs w:val="24"/>
          <w:lang w:val="ru-RU"/>
        </w:rPr>
        <w:t xml:space="preserve">. </w:t>
      </w:r>
    </w:p>
    <w:p w:rsidR="00FA0ED6" w:rsidRPr="00FA0ED6" w:rsidRDefault="00FA0ED6" w:rsidP="00FA0ED6">
      <w:pPr>
        <w:ind w:right="-57"/>
        <w:contextualSpacing/>
        <w:jc w:val="both"/>
        <w:rPr>
          <w:rFonts w:ascii="Times New Roman" w:hAnsi="Times New Roman"/>
          <w:iCs/>
          <w:szCs w:val="24"/>
          <w:lang w:val="ru-RU"/>
        </w:rPr>
      </w:pPr>
      <w:r w:rsidRPr="00FA0ED6">
        <w:rPr>
          <w:rFonts w:ascii="Times New Roman" w:hAnsi="Times New Roman"/>
          <w:szCs w:val="24"/>
          <w:lang w:val="ru-RU"/>
        </w:rPr>
        <w:t>Земельный участок используется Продавцом по Договору аренды земельного участка № М-01-008979 от 16.06.1997 г. на 49 лет.</w:t>
      </w:r>
      <w:r w:rsidRPr="00FA0ED6">
        <w:rPr>
          <w:rFonts w:ascii="Times New Roman" w:hAnsi="Times New Roman"/>
          <w:iCs/>
          <w:szCs w:val="24"/>
          <w:lang w:val="ru-RU"/>
        </w:rPr>
        <w:t xml:space="preserve"> </w:t>
      </w:r>
    </w:p>
    <w:p w:rsidR="008529D2" w:rsidRPr="00420049" w:rsidRDefault="00FA0ED6" w:rsidP="00FA0ED6">
      <w:pPr>
        <w:ind w:right="-57" w:firstLine="567"/>
        <w:jc w:val="both"/>
        <w:rPr>
          <w:rFonts w:ascii="Times New Roman" w:hAnsi="Times New Roman"/>
          <w:szCs w:val="24"/>
          <w:lang w:val="ru-RU"/>
        </w:rPr>
      </w:pPr>
      <w:r w:rsidRPr="00FA0ED6">
        <w:rPr>
          <w:rFonts w:ascii="Times New Roman" w:hAnsi="Times New Roman"/>
          <w:iCs/>
          <w:szCs w:val="24"/>
          <w:lang w:val="ru-RU"/>
        </w:rPr>
        <w:t>Переоформление прав на Земельный участок осуществляется в установленном законодательством Российской Федерации порядке</w:t>
      </w:r>
      <w:r w:rsidR="00081D5D" w:rsidRPr="00081D5D">
        <w:rPr>
          <w:rFonts w:ascii="Times New Roman" w:hAnsi="Times New Roman"/>
          <w:szCs w:val="24"/>
          <w:lang w:val="ru-RU"/>
        </w:rPr>
        <w:t>.</w:t>
      </w:r>
      <w:r w:rsidR="008529D2" w:rsidRPr="00420049">
        <w:rPr>
          <w:rFonts w:ascii="Times New Roman" w:hAnsi="Times New Roman"/>
          <w:szCs w:val="24"/>
          <w:lang w:val="ru-RU"/>
        </w:rPr>
        <w:t xml:space="preserve"> </w:t>
      </w:r>
      <w:r w:rsidR="00A64821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0C5FDE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8529D2" w:rsidRPr="00110708" w:rsidRDefault="008529D2" w:rsidP="008529D2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Лота № </w:t>
      </w:r>
      <w:r w:rsidR="005B3904">
        <w:rPr>
          <w:b/>
          <w:lang w:val="ru-RU"/>
        </w:rPr>
        <w:t>1</w:t>
      </w:r>
      <w:r w:rsidRPr="00110708">
        <w:rPr>
          <w:lang w:val="ru-RU"/>
        </w:rPr>
        <w:t xml:space="preserve"> </w:t>
      </w:r>
      <w:r w:rsidRPr="00110708">
        <w:rPr>
          <w:rFonts w:ascii="Times New Roman" w:hAnsi="Times New Roman"/>
          <w:szCs w:val="24"/>
          <w:lang w:val="ru-RU"/>
        </w:rPr>
        <w:t xml:space="preserve">- 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589 969 630 </w:t>
      </w:r>
      <w:r w:rsidR="0058131B" w:rsidRPr="0058131B">
        <w:rPr>
          <w:rFonts w:ascii="Times New Roman" w:hAnsi="Times New Roman"/>
          <w:szCs w:val="24"/>
          <w:lang w:val="ru-RU"/>
        </w:rPr>
        <w:t>(пятьсот восемьдесят девять миллионов девятьсот шестьдесят девять тысяч шестьсот тридцать) рублей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 00 </w:t>
      </w:r>
      <w:r w:rsidR="0058131B" w:rsidRPr="0058131B">
        <w:rPr>
          <w:rFonts w:ascii="Times New Roman" w:hAnsi="Times New Roman"/>
          <w:szCs w:val="24"/>
          <w:lang w:val="ru-RU"/>
        </w:rPr>
        <w:t>копеек</w:t>
      </w:r>
      <w:r w:rsidRPr="0058131B">
        <w:rPr>
          <w:rFonts w:ascii="Times New Roman" w:hAnsi="Times New Roman"/>
          <w:szCs w:val="24"/>
          <w:lang w:val="ru-RU"/>
        </w:rPr>
        <w:t>,</w:t>
      </w:r>
      <w:r w:rsidRPr="00110708">
        <w:rPr>
          <w:rFonts w:ascii="Times New Roman" w:hAnsi="Times New Roman"/>
          <w:szCs w:val="24"/>
          <w:lang w:val="ru-RU"/>
        </w:rPr>
        <w:t xml:space="preserve"> в том числе НДС</w:t>
      </w:r>
      <w:r>
        <w:rPr>
          <w:rFonts w:ascii="Times New Roman" w:hAnsi="Times New Roman"/>
          <w:szCs w:val="24"/>
          <w:lang w:val="ru-RU"/>
        </w:rPr>
        <w:t xml:space="preserve"> 20%</w:t>
      </w:r>
      <w:r w:rsidRPr="00110708">
        <w:rPr>
          <w:rFonts w:ascii="Times New Roman" w:hAnsi="Times New Roman"/>
          <w:szCs w:val="24"/>
          <w:lang w:val="ru-RU"/>
        </w:rPr>
        <w:t xml:space="preserve">.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8529D2" w:rsidRPr="00110708" w:rsidRDefault="008529D2" w:rsidP="008529D2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110708">
        <w:rPr>
          <w:b/>
          <w:lang w:val="ru-RU"/>
        </w:rPr>
        <w:t xml:space="preserve">Лота № </w:t>
      </w:r>
      <w:r w:rsidR="005B3904">
        <w:rPr>
          <w:b/>
          <w:lang w:val="ru-RU"/>
        </w:rPr>
        <w:t>1</w:t>
      </w:r>
      <w:r w:rsidRPr="00110708">
        <w:rPr>
          <w:lang w:val="ru-RU"/>
        </w:rPr>
        <w:t xml:space="preserve"> </w:t>
      </w:r>
      <w:r w:rsidRPr="00110708">
        <w:rPr>
          <w:rFonts w:asciiTheme="minorHAnsi" w:hAnsiTheme="minorHAnsi"/>
          <w:lang w:val="ru-RU"/>
        </w:rPr>
        <w:t xml:space="preserve">– 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442 477 230 </w:t>
      </w:r>
      <w:r w:rsidR="0058131B" w:rsidRPr="0058131B">
        <w:rPr>
          <w:rFonts w:ascii="Times New Roman" w:hAnsi="Times New Roman"/>
          <w:szCs w:val="24"/>
          <w:lang w:val="ru-RU"/>
        </w:rPr>
        <w:t>(четыреста сорок два миллиона четыреста семьдесят семь тысяч двести тридцать) рублей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 00 </w:t>
      </w:r>
      <w:r w:rsidR="0058131B" w:rsidRPr="0058131B">
        <w:rPr>
          <w:rFonts w:ascii="Times New Roman" w:hAnsi="Times New Roman"/>
          <w:szCs w:val="24"/>
          <w:lang w:val="ru-RU"/>
        </w:rPr>
        <w:t>копеек</w:t>
      </w:r>
      <w:r w:rsidRPr="0058131B">
        <w:rPr>
          <w:rFonts w:ascii="Times New Roman" w:hAnsi="Times New Roman"/>
          <w:szCs w:val="24"/>
          <w:lang w:val="ru-RU"/>
        </w:rPr>
        <w:t>, в</w:t>
      </w:r>
      <w:r w:rsidRPr="00A64821">
        <w:rPr>
          <w:rFonts w:ascii="Times New Roman" w:hAnsi="Times New Roman"/>
          <w:szCs w:val="24"/>
          <w:lang w:val="ru-RU"/>
        </w:rPr>
        <w:t xml:space="preserve"> том</w:t>
      </w:r>
      <w:r w:rsidRPr="00110708">
        <w:rPr>
          <w:rFonts w:ascii="Times New Roman" w:hAnsi="Times New Roman"/>
          <w:szCs w:val="24"/>
          <w:lang w:val="ru-RU"/>
        </w:rPr>
        <w:t xml:space="preserve"> числе НДС</w:t>
      </w:r>
      <w:r>
        <w:rPr>
          <w:rFonts w:ascii="Times New Roman" w:hAnsi="Times New Roman"/>
          <w:szCs w:val="24"/>
          <w:lang w:val="ru-RU"/>
        </w:rPr>
        <w:t xml:space="preserve"> 20%</w:t>
      </w:r>
      <w:r w:rsidRPr="00110708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8529D2" w:rsidRPr="00EF554D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59 000 000 </w:t>
      </w:r>
      <w:r w:rsidR="0058131B" w:rsidRPr="0058131B">
        <w:rPr>
          <w:rFonts w:ascii="Times New Roman" w:hAnsi="Times New Roman"/>
          <w:szCs w:val="24"/>
          <w:lang w:val="ru-RU"/>
        </w:rPr>
        <w:t>(пятьдесят девять миллионов) рублей</w:t>
      </w:r>
      <w:r w:rsidR="0058131B" w:rsidRPr="0058131B">
        <w:rPr>
          <w:rFonts w:ascii="Times New Roman" w:hAnsi="Times New Roman"/>
          <w:b/>
          <w:szCs w:val="24"/>
          <w:lang w:val="ru-RU"/>
        </w:rPr>
        <w:t xml:space="preserve"> </w:t>
      </w:r>
      <w:r w:rsidR="00EF554D" w:rsidRPr="00EF554D">
        <w:rPr>
          <w:rFonts w:ascii="Times New Roman" w:hAnsi="Times New Roman"/>
          <w:b/>
          <w:szCs w:val="24"/>
          <w:lang w:val="ru-RU"/>
        </w:rPr>
        <w:t xml:space="preserve">00 </w:t>
      </w:r>
      <w:r w:rsidR="00EF554D" w:rsidRPr="00EF554D">
        <w:rPr>
          <w:rFonts w:ascii="Times New Roman" w:hAnsi="Times New Roman"/>
          <w:szCs w:val="24"/>
          <w:lang w:val="ru-RU"/>
        </w:rPr>
        <w:t>копеек</w:t>
      </w:r>
      <w:r w:rsidRPr="00EF554D">
        <w:rPr>
          <w:rFonts w:ascii="Times New Roman" w:hAnsi="Times New Roman"/>
          <w:szCs w:val="24"/>
          <w:lang w:val="ru-RU"/>
        </w:rPr>
        <w:t xml:space="preserve">. </w:t>
      </w:r>
    </w:p>
    <w:p w:rsidR="008529D2" w:rsidRPr="00EF554D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>–</w:t>
      </w:r>
      <w:r w:rsidR="00E52873">
        <w:rPr>
          <w:rFonts w:ascii="Times New Roman" w:hAnsi="Times New Roman"/>
          <w:szCs w:val="24"/>
          <w:lang w:val="ru-RU"/>
        </w:rPr>
        <w:t xml:space="preserve"> </w:t>
      </w:r>
      <w:r w:rsidR="004739EB" w:rsidRPr="004739EB">
        <w:rPr>
          <w:rFonts w:ascii="Times New Roman" w:hAnsi="Times New Roman"/>
          <w:b/>
          <w:lang w:val="ru-RU"/>
        </w:rPr>
        <w:t xml:space="preserve">3 687 310 </w:t>
      </w:r>
      <w:r w:rsidR="004739EB" w:rsidRPr="004739EB">
        <w:rPr>
          <w:rFonts w:ascii="Times New Roman" w:hAnsi="Times New Roman"/>
          <w:lang w:val="ru-RU"/>
        </w:rPr>
        <w:t>(три миллиона шестьсот восемьдесят семь тысяч триста десять) рублей</w:t>
      </w:r>
      <w:r w:rsidR="004739EB" w:rsidRPr="004739EB">
        <w:rPr>
          <w:rFonts w:ascii="Times New Roman" w:hAnsi="Times New Roman"/>
          <w:b/>
          <w:lang w:val="ru-RU"/>
        </w:rPr>
        <w:t xml:space="preserve">  00 </w:t>
      </w:r>
      <w:r w:rsidR="004739EB" w:rsidRPr="004739EB">
        <w:rPr>
          <w:rFonts w:ascii="Times New Roman" w:hAnsi="Times New Roman"/>
          <w:lang w:val="ru-RU"/>
        </w:rPr>
        <w:t>копеек</w:t>
      </w:r>
      <w:r w:rsidR="00E52873" w:rsidRPr="004739EB">
        <w:rPr>
          <w:rFonts w:ascii="Times New Roman" w:hAnsi="Times New Roman"/>
          <w:szCs w:val="24"/>
          <w:lang w:val="ru-RU"/>
        </w:rPr>
        <w:t>.</w:t>
      </w:r>
    </w:p>
    <w:p w:rsidR="00960017" w:rsidRPr="004739EB" w:rsidRDefault="008529D2" w:rsidP="008529D2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739EB" w:rsidRPr="004739EB">
        <w:rPr>
          <w:rFonts w:ascii="Times New Roman" w:hAnsi="Times New Roman"/>
          <w:b/>
          <w:lang w:val="ru-RU"/>
        </w:rPr>
        <w:t xml:space="preserve">18 436 550 </w:t>
      </w:r>
      <w:r w:rsidR="004739EB" w:rsidRPr="004739EB">
        <w:rPr>
          <w:rFonts w:ascii="Times New Roman" w:hAnsi="Times New Roman"/>
          <w:lang w:val="ru-RU"/>
        </w:rPr>
        <w:t>(восемнадцать миллионов четыреста тридцать шесть тысяч пятьсот пятьдесят) рублей</w:t>
      </w:r>
      <w:r w:rsidR="004739EB" w:rsidRPr="004739EB">
        <w:rPr>
          <w:rFonts w:ascii="Times New Roman" w:hAnsi="Times New Roman"/>
          <w:b/>
          <w:lang w:val="ru-RU"/>
        </w:rPr>
        <w:t xml:space="preserve"> 00 </w:t>
      </w:r>
      <w:r w:rsidR="004739EB" w:rsidRPr="004739EB">
        <w:rPr>
          <w:rFonts w:ascii="Times New Roman" w:hAnsi="Times New Roman"/>
          <w:lang w:val="ru-RU"/>
        </w:rPr>
        <w:t>копеек</w:t>
      </w:r>
      <w:r w:rsidR="0092616A" w:rsidRPr="004739EB">
        <w:rPr>
          <w:rFonts w:ascii="Times New Roman" w:hAnsi="Times New Roman"/>
          <w:szCs w:val="24"/>
          <w:lang w:val="ru-RU"/>
        </w:rPr>
        <w:t>.</w:t>
      </w:r>
    </w:p>
    <w:p w:rsidR="008529D2" w:rsidRDefault="008529D2" w:rsidP="008529D2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</w:p>
    <w:p w:rsidR="003E58A3" w:rsidRPr="00930E47" w:rsidRDefault="0094572D" w:rsidP="003E58A3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 w:rsidRPr="0094572D">
        <w:rPr>
          <w:rFonts w:ascii="Times New Roman" w:hAnsi="Times New Roman"/>
          <w:b/>
          <w:lang w:val="ru-RU"/>
        </w:rPr>
        <w:t xml:space="preserve">Телефон для ознакомления </w:t>
      </w:r>
      <w:r w:rsidR="007812DA">
        <w:rPr>
          <w:rFonts w:ascii="Times New Roman" w:hAnsi="Times New Roman"/>
          <w:b/>
          <w:lang w:val="ru-RU"/>
        </w:rPr>
        <w:t xml:space="preserve">с </w:t>
      </w:r>
      <w:r w:rsidRPr="0094572D">
        <w:rPr>
          <w:rFonts w:ascii="Times New Roman" w:hAnsi="Times New Roman"/>
          <w:b/>
          <w:lang w:val="ru-RU"/>
        </w:rPr>
        <w:t>имуществ</w:t>
      </w:r>
      <w:r w:rsidR="007812DA">
        <w:rPr>
          <w:rFonts w:ascii="Times New Roman" w:hAnsi="Times New Roman"/>
          <w:b/>
          <w:lang w:val="ru-RU"/>
        </w:rPr>
        <w:t>ом</w:t>
      </w:r>
      <w:r w:rsidRPr="0094572D">
        <w:rPr>
          <w:rFonts w:ascii="Times New Roman" w:hAnsi="Times New Roman"/>
          <w:b/>
          <w:lang w:val="ru-RU"/>
        </w:rPr>
        <w:t>: +7 (812) 334-20-50 (с 9.00 до 18.00 по Московскому времени в будние дни), e-</w:t>
      </w:r>
      <w:proofErr w:type="spellStart"/>
      <w:r w:rsidRPr="0094572D">
        <w:rPr>
          <w:rFonts w:ascii="Times New Roman" w:hAnsi="Times New Roman"/>
          <w:b/>
          <w:lang w:val="ru-RU"/>
        </w:rPr>
        <w:t>mail</w:t>
      </w:r>
      <w:proofErr w:type="spellEnd"/>
      <w:r w:rsidRPr="0094572D">
        <w:rPr>
          <w:rFonts w:ascii="Times New Roman" w:hAnsi="Times New Roman"/>
          <w:b/>
          <w:lang w:val="ru-RU"/>
        </w:rPr>
        <w:t xml:space="preserve">: </w:t>
      </w:r>
      <w:hyperlink r:id="rId10" w:history="1">
        <w:r w:rsidR="007019B7" w:rsidRPr="00D42C59">
          <w:rPr>
            <w:rStyle w:val="af2"/>
            <w:rFonts w:ascii="Times New Roman" w:hAnsi="Times New Roman"/>
            <w:b/>
            <w:lang w:val="ru-RU"/>
          </w:rPr>
          <w:t>informmsk@auction-house.ru</w:t>
        </w:r>
      </w:hyperlink>
      <w:r w:rsidR="007019B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BB5EC8" w:rsidRPr="00BB5EC8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CA0502">
        <w:rPr>
          <w:rFonts w:ascii="Times New Roman" w:hAnsi="Times New Roman"/>
          <w:bCs/>
          <w:szCs w:val="24"/>
          <w:lang w:val="ru-RU"/>
        </w:rPr>
        <w:t>, размещенном</w:t>
      </w:r>
      <w:proofErr w:type="gramEnd"/>
      <w:r w:rsidRPr="00CA0502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1" w:history="1">
        <w:r w:rsidRPr="00CA0502">
          <w:rPr>
            <w:rStyle w:val="af2"/>
            <w:rFonts w:ascii="Times New Roman" w:hAnsi="Times New Roman"/>
            <w:bCs/>
            <w:szCs w:val="24"/>
          </w:rPr>
          <w:t>www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CA0502">
          <w:rPr>
            <w:rStyle w:val="af2"/>
            <w:rFonts w:ascii="Times New Roman" w:hAnsi="Times New Roman"/>
            <w:bCs/>
            <w:szCs w:val="24"/>
          </w:rPr>
          <w:t>lot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CA0502">
          <w:rPr>
            <w:rStyle w:val="af2"/>
            <w:rFonts w:ascii="Times New Roman" w:hAnsi="Times New Roman"/>
            <w:bCs/>
            <w:szCs w:val="24"/>
          </w:rPr>
          <w:t>online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Pr="00CA0502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CA0502">
        <w:rPr>
          <w:rFonts w:ascii="Times New Roman" w:hAnsi="Times New Roman"/>
          <w:bCs/>
          <w:szCs w:val="24"/>
          <w:lang w:val="ru-RU"/>
        </w:rPr>
        <w:t>.</w:t>
      </w:r>
      <w:r w:rsidR="00BB5EC8">
        <w:rPr>
          <w:rFonts w:ascii="Times New Roman" w:hAnsi="Times New Roman"/>
          <w:bCs/>
          <w:szCs w:val="24"/>
          <w:lang w:val="ru-RU"/>
        </w:rPr>
        <w:t xml:space="preserve"> 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531983" w:rsidRDefault="00531983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</w:t>
      </w:r>
      <w:r w:rsidRPr="008749DF">
        <w:rPr>
          <w:rFonts w:ascii="Times New Roman" w:hAnsi="Times New Roman"/>
          <w:szCs w:val="24"/>
          <w:lang w:val="ru-RU"/>
        </w:rPr>
        <w:lastRenderedPageBreak/>
        <w:t xml:space="preserve">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3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lastRenderedPageBreak/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BB5EC8" w:rsidRPr="00BB5EC8">
        <w:rPr>
          <w:rFonts w:ascii="Times New Roman" w:hAnsi="Times New Roman"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655067">
        <w:rPr>
          <w:rFonts w:ascii="Times New Roman" w:hAnsi="Times New Roman"/>
          <w:szCs w:val="24"/>
          <w:lang w:val="ru-RU"/>
        </w:rPr>
        <w:t>,</w:t>
      </w:r>
      <w:r w:rsidRPr="00655067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655067">
        <w:rPr>
          <w:rFonts w:ascii="Times New Roman" w:hAnsi="Times New Roman"/>
          <w:szCs w:val="24"/>
          <w:lang w:val="ru-RU"/>
        </w:rPr>
        <w:t xml:space="preserve">сайте </w:t>
      </w:r>
      <w:hyperlink r:id="rId15" w:history="1">
        <w:r w:rsidRPr="00655067">
          <w:rPr>
            <w:rStyle w:val="af2"/>
            <w:rFonts w:ascii="Times New Roman" w:hAnsi="Times New Roman"/>
            <w:szCs w:val="24"/>
          </w:rPr>
          <w:t>www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655067">
          <w:rPr>
            <w:rStyle w:val="af2"/>
            <w:rFonts w:ascii="Times New Roman" w:hAnsi="Times New Roman"/>
            <w:szCs w:val="24"/>
          </w:rPr>
          <w:t>lot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655067">
          <w:rPr>
            <w:rStyle w:val="af2"/>
            <w:rFonts w:ascii="Times New Roman" w:hAnsi="Times New Roman"/>
            <w:szCs w:val="24"/>
          </w:rPr>
          <w:t>online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655067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>.</w:t>
      </w:r>
      <w:r w:rsidR="00BB5EC8">
        <w:rPr>
          <w:rFonts w:ascii="Times New Roman" w:hAnsi="Times New Roman"/>
          <w:szCs w:val="24"/>
          <w:lang w:val="ru-RU"/>
        </w:rPr>
        <w:t xml:space="preserve">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B718FD" w:rsidRPr="00F16D9B" w:rsidRDefault="00B718FD" w:rsidP="005B5C4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color w:val="000000"/>
          <w:lang w:val="ru-RU"/>
        </w:rPr>
        <w:t xml:space="preserve">Договор купли-продажи заключается между Продавцом и Победителем аукциона в </w:t>
      </w:r>
      <w:r w:rsidR="005B5C4E" w:rsidRPr="00F16D9B">
        <w:rPr>
          <w:b/>
          <w:color w:val="000000"/>
          <w:lang w:val="ru-RU"/>
        </w:rPr>
        <w:t xml:space="preserve">  течение </w:t>
      </w:r>
      <w:r w:rsidR="00E769EA" w:rsidRPr="00E769EA">
        <w:rPr>
          <w:b/>
          <w:color w:val="000000"/>
          <w:szCs w:val="24"/>
          <w:lang w:val="ru-RU"/>
        </w:rPr>
        <w:t>15 (пятнадцати)</w:t>
      </w:r>
      <w:r w:rsidR="00655067" w:rsidRPr="00F16D9B">
        <w:rPr>
          <w:b/>
          <w:color w:val="000000"/>
          <w:szCs w:val="24"/>
          <w:lang w:val="ru-RU"/>
        </w:rPr>
        <w:t xml:space="preserve"> рабочих дней </w:t>
      </w:r>
      <w:proofErr w:type="gramStart"/>
      <w:r w:rsidRPr="00F16D9B">
        <w:rPr>
          <w:b/>
          <w:color w:val="000000"/>
          <w:lang w:val="ru-RU"/>
        </w:rPr>
        <w:t>с даты подведения</w:t>
      </w:r>
      <w:proofErr w:type="gramEnd"/>
      <w:r w:rsidRPr="00F16D9B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</w:t>
      </w:r>
      <w:r w:rsidRPr="00F16D9B">
        <w:rPr>
          <w:b/>
          <w:color w:val="000000"/>
        </w:rPr>
        <w:t>www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  <w:color w:val="000000"/>
        </w:rPr>
        <w:t>lot</w:t>
      </w:r>
      <w:r w:rsidRPr="00F16D9B">
        <w:rPr>
          <w:b/>
          <w:color w:val="000000"/>
          <w:lang w:val="ru-RU"/>
        </w:rPr>
        <w:t>-</w:t>
      </w:r>
      <w:r w:rsidRPr="00F16D9B">
        <w:rPr>
          <w:b/>
          <w:color w:val="000000"/>
        </w:rPr>
        <w:t>online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</w:rPr>
        <w:t>ru</w:t>
      </w:r>
      <w:r w:rsidRPr="00F16D9B">
        <w:rPr>
          <w:b/>
          <w:lang w:val="ru-RU"/>
        </w:rPr>
        <w:t xml:space="preserve"> в разделе «карточка лота»</w:t>
      </w:r>
      <w:r w:rsidR="003467F2" w:rsidRPr="00F16D9B">
        <w:rPr>
          <w:b/>
          <w:lang w:val="ru-RU"/>
        </w:rPr>
        <w:t>.</w:t>
      </w:r>
    </w:p>
    <w:p w:rsidR="00655067" w:rsidRPr="00F16D9B" w:rsidRDefault="00C05CDD" w:rsidP="00C05CD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F16D9B">
        <w:rPr>
          <w:b/>
          <w:lang w:val="ru-RU"/>
        </w:rPr>
        <w:t>Оплата Объект</w:t>
      </w:r>
      <w:r w:rsidR="00D1201F">
        <w:rPr>
          <w:b/>
          <w:lang w:val="ru-RU"/>
        </w:rPr>
        <w:t>а</w:t>
      </w:r>
      <w:r w:rsidRPr="00F16D9B">
        <w:rPr>
          <w:b/>
          <w:lang w:val="ru-RU"/>
        </w:rPr>
        <w:t xml:space="preserve"> производится Победителем аукциона (Покупателем) путем безналичного перечисления денежных средств на счет Продавца в </w:t>
      </w:r>
      <w:r w:rsidR="00D41B98" w:rsidRPr="00F16D9B">
        <w:rPr>
          <w:b/>
          <w:lang w:val="ru-RU"/>
        </w:rPr>
        <w:t xml:space="preserve">течение </w:t>
      </w:r>
      <w:r w:rsidR="00E769EA" w:rsidRPr="00E769EA">
        <w:rPr>
          <w:b/>
          <w:lang w:val="ru-RU"/>
        </w:rPr>
        <w:t>10 (десяти)</w:t>
      </w:r>
      <w:r w:rsidR="00D41B98" w:rsidRPr="00F16D9B">
        <w:rPr>
          <w:b/>
          <w:lang w:val="ru-RU"/>
        </w:rPr>
        <w:t xml:space="preserve"> рабочих дней </w:t>
      </w:r>
      <w:proofErr w:type="gramStart"/>
      <w:r w:rsidR="00D41B98" w:rsidRPr="00F16D9B">
        <w:rPr>
          <w:b/>
          <w:lang w:val="ru-RU"/>
        </w:rPr>
        <w:t>с даты заключения</w:t>
      </w:r>
      <w:proofErr w:type="gramEnd"/>
      <w:r w:rsidR="00D41B98" w:rsidRPr="00F16D9B">
        <w:rPr>
          <w:b/>
          <w:lang w:val="ru-RU"/>
        </w:rPr>
        <w:t xml:space="preserve"> договора купли-продажи.</w:t>
      </w:r>
      <w:r w:rsidR="00E769EA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lastRenderedPageBreak/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</w:t>
      </w:r>
      <w:r w:rsidR="00E769EA" w:rsidRPr="00E769EA">
        <w:rPr>
          <w:b/>
          <w:lang w:val="ru-RU"/>
        </w:rPr>
        <w:t xml:space="preserve">по минимальной цене </w:t>
      </w:r>
      <w:r w:rsidRPr="00F16D9B">
        <w:rPr>
          <w:b/>
          <w:lang w:val="ru-RU"/>
        </w:rPr>
        <w:t xml:space="preserve">продажи  Объектов в течение </w:t>
      </w:r>
      <w:r w:rsidR="00E769EA" w:rsidRPr="00E769EA">
        <w:rPr>
          <w:b/>
          <w:lang w:val="ru-RU"/>
        </w:rPr>
        <w:t>15 (пятнадцати)</w:t>
      </w:r>
      <w:r w:rsidR="00E769EA">
        <w:rPr>
          <w:b/>
          <w:lang w:val="ru-RU"/>
        </w:rPr>
        <w:t xml:space="preserve"> </w:t>
      </w:r>
      <w:r w:rsidRPr="00F16D9B">
        <w:rPr>
          <w:b/>
          <w:lang w:val="ru-RU"/>
        </w:rPr>
        <w:t xml:space="preserve">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9873AF" w:rsidRPr="009873AF" w:rsidRDefault="00655067" w:rsidP="009873AF">
      <w:pPr>
        <w:ind w:right="-57" w:firstLine="709"/>
        <w:jc w:val="both"/>
        <w:rPr>
          <w:b/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F93413" w:rsidRPr="00F93413">
        <w:rPr>
          <w:rFonts w:hint="eastAsia"/>
          <w:lang w:val="ru-RU"/>
        </w:rPr>
        <w:t>в</w:t>
      </w:r>
      <w:r w:rsidR="00F93413" w:rsidRPr="00F93413">
        <w:rPr>
          <w:lang w:val="ru-RU"/>
        </w:rPr>
        <w:t xml:space="preserve"> </w:t>
      </w:r>
      <w:r w:rsidR="009873AF" w:rsidRPr="00D1201F">
        <w:rPr>
          <w:lang w:val="ru-RU"/>
        </w:rPr>
        <w:t>течение</w:t>
      </w:r>
      <w:r w:rsidR="009873AF" w:rsidRPr="009873AF">
        <w:rPr>
          <w:b/>
          <w:lang w:val="ru-RU"/>
        </w:rPr>
        <w:t xml:space="preserve"> </w:t>
      </w:r>
      <w:r w:rsidR="00081D5D" w:rsidRPr="00081D5D">
        <w:rPr>
          <w:b/>
          <w:lang w:val="ru-RU"/>
        </w:rPr>
        <w:t>10 (десяти)</w:t>
      </w:r>
      <w:r w:rsidR="009873AF" w:rsidRPr="009873AF">
        <w:rPr>
          <w:b/>
          <w:lang w:val="ru-RU"/>
        </w:rPr>
        <w:t xml:space="preserve"> рабочих дней </w:t>
      </w:r>
      <w:proofErr w:type="gramStart"/>
      <w:r w:rsidR="009873AF" w:rsidRPr="00D1201F">
        <w:rPr>
          <w:lang w:val="ru-RU"/>
        </w:rPr>
        <w:t>с даты заключения</w:t>
      </w:r>
      <w:proofErr w:type="gramEnd"/>
      <w:r w:rsidR="009873AF" w:rsidRPr="00D1201F">
        <w:rPr>
          <w:lang w:val="ru-RU"/>
        </w:rPr>
        <w:t xml:space="preserve"> договора купли-продажи.</w:t>
      </w:r>
      <w:r w:rsidR="009873AF" w:rsidRPr="009873AF">
        <w:rPr>
          <w:b/>
          <w:lang w:val="ru-RU"/>
        </w:rPr>
        <w:t xml:space="preserve"> 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sectPr w:rsidR="0072265A" w:rsidRPr="00CE7F09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60B9"/>
    <w:rsid w:val="00081D5D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778B5"/>
    <w:rsid w:val="002819BB"/>
    <w:rsid w:val="00290682"/>
    <w:rsid w:val="00296469"/>
    <w:rsid w:val="00297CDC"/>
    <w:rsid w:val="002A23BE"/>
    <w:rsid w:val="002B05D0"/>
    <w:rsid w:val="002B1D6A"/>
    <w:rsid w:val="002B4A11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47317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350C"/>
    <w:rsid w:val="003B6567"/>
    <w:rsid w:val="003C3AFB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39EB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719B"/>
    <w:rsid w:val="004C0A2A"/>
    <w:rsid w:val="004C4FAC"/>
    <w:rsid w:val="004D3B2B"/>
    <w:rsid w:val="004D4164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05DA"/>
    <w:rsid w:val="00511A04"/>
    <w:rsid w:val="00530EFC"/>
    <w:rsid w:val="00531983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131B"/>
    <w:rsid w:val="005833AE"/>
    <w:rsid w:val="00585E97"/>
    <w:rsid w:val="00586038"/>
    <w:rsid w:val="0058640E"/>
    <w:rsid w:val="005864FE"/>
    <w:rsid w:val="00590212"/>
    <w:rsid w:val="00591C51"/>
    <w:rsid w:val="00596E84"/>
    <w:rsid w:val="005971E1"/>
    <w:rsid w:val="00597EC2"/>
    <w:rsid w:val="005A0ABB"/>
    <w:rsid w:val="005A3751"/>
    <w:rsid w:val="005A4928"/>
    <w:rsid w:val="005B3904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86891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9B7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B95"/>
    <w:rsid w:val="00775804"/>
    <w:rsid w:val="00776B6D"/>
    <w:rsid w:val="00777993"/>
    <w:rsid w:val="007812DA"/>
    <w:rsid w:val="00784AAE"/>
    <w:rsid w:val="0079139C"/>
    <w:rsid w:val="00792325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572D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3E5F"/>
    <w:rsid w:val="009954BC"/>
    <w:rsid w:val="00996255"/>
    <w:rsid w:val="0099693F"/>
    <w:rsid w:val="009A04C8"/>
    <w:rsid w:val="009A1A79"/>
    <w:rsid w:val="009A41B1"/>
    <w:rsid w:val="009A5DD6"/>
    <w:rsid w:val="009B0D30"/>
    <w:rsid w:val="009B1FBD"/>
    <w:rsid w:val="009B6E3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1555C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0C9C"/>
    <w:rsid w:val="00A521A6"/>
    <w:rsid w:val="00A5738C"/>
    <w:rsid w:val="00A62122"/>
    <w:rsid w:val="00A64821"/>
    <w:rsid w:val="00A64A44"/>
    <w:rsid w:val="00A743DA"/>
    <w:rsid w:val="00A87070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B5EC8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42A5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682F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0502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0F1E"/>
    <w:rsid w:val="00D05EE1"/>
    <w:rsid w:val="00D1201F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4509"/>
    <w:rsid w:val="00D453CE"/>
    <w:rsid w:val="00D45471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388"/>
    <w:rsid w:val="00DB568E"/>
    <w:rsid w:val="00DB58E5"/>
    <w:rsid w:val="00DC3225"/>
    <w:rsid w:val="00DD07EA"/>
    <w:rsid w:val="00DD0EC2"/>
    <w:rsid w:val="00DD1401"/>
    <w:rsid w:val="00DD1A08"/>
    <w:rsid w:val="00DD287B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3CBE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2873"/>
    <w:rsid w:val="00E57752"/>
    <w:rsid w:val="00E601A5"/>
    <w:rsid w:val="00E6064B"/>
    <w:rsid w:val="00E62A2F"/>
    <w:rsid w:val="00E63FDD"/>
    <w:rsid w:val="00E650F2"/>
    <w:rsid w:val="00E6680A"/>
    <w:rsid w:val="00E671E7"/>
    <w:rsid w:val="00E70571"/>
    <w:rsid w:val="00E73109"/>
    <w:rsid w:val="00E74AD7"/>
    <w:rsid w:val="00E769EA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554D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4073"/>
    <w:rsid w:val="00F473CD"/>
    <w:rsid w:val="00F52708"/>
    <w:rsid w:val="00F549F6"/>
    <w:rsid w:val="00F54E19"/>
    <w:rsid w:val="00F6484D"/>
    <w:rsid w:val="00F711D1"/>
    <w:rsid w:val="00F72E93"/>
    <w:rsid w:val="00F72F10"/>
    <w:rsid w:val="00F76B58"/>
    <w:rsid w:val="00F7774B"/>
    <w:rsid w:val="00F83601"/>
    <w:rsid w:val="00F9002E"/>
    <w:rsid w:val="00F90847"/>
    <w:rsid w:val="00F91BAE"/>
    <w:rsid w:val="00F93413"/>
    <w:rsid w:val="00F95D6C"/>
    <w:rsid w:val="00F95E39"/>
    <w:rsid w:val="00FA00D7"/>
    <w:rsid w:val="00FA0ED6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7892"/>
    <w:rsid w:val="00FD0050"/>
    <w:rsid w:val="00FD41F9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081D5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FA0ED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081D5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FA0ED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informmsk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B994-9075-4175-B00C-83C74C4C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198</cp:revision>
  <cp:lastPrinted>2018-07-23T07:41:00Z</cp:lastPrinted>
  <dcterms:created xsi:type="dcterms:W3CDTF">2018-11-16T12:15:00Z</dcterms:created>
  <dcterms:modified xsi:type="dcterms:W3CDTF">2021-11-22T12:50:00Z</dcterms:modified>
</cp:coreProperties>
</file>