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8CD02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D37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D37A0" w:rsidRPr="00EB593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D37A0"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Коммерческий банк социального развития «Бумеранг» (далее –АО Комсоцбанк «Бумеранг»),</w:t>
      </w:r>
      <w:r w:rsidR="007D37A0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D37A0" w:rsidRPr="00EB5930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06 июля 2015</w:t>
      </w:r>
      <w:r w:rsidR="007D37A0"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7A0" w:rsidRPr="00EB5930">
        <w:rPr>
          <w:rFonts w:ascii="Times New Roman" w:hAnsi="Times New Roman" w:cs="Times New Roman"/>
          <w:color w:val="000000"/>
          <w:sz w:val="24"/>
          <w:szCs w:val="24"/>
        </w:rPr>
        <w:t>г. по делу №А13-7747/2015</w:t>
      </w:r>
      <w:r w:rsidR="007D3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20865CFA" w:rsidR="00467D6B" w:rsidRPr="00A115B3" w:rsidRDefault="007D37A0" w:rsidP="007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7D37A0">
        <w:t>Нежилое здание (банк, 4-этажное) - 1 139,9 кв. м, нежилое здание (гараж, 2-этажное) - 223,6 кв. м, земельный участок - 1 913 кв. м, адрес: Вологодская обл., г. Череповец, ул. Коммунистов, д. 22, неотделимые улучшения, имущество (36 поз.), кадастровые номера 35:21:0401011:388, 35:21:0401011:483, 35:21:0401011:205, земли населенных пунктов - для эксплуатации здания банка, на земельном участке имеется строение, в отношении которого отсутствуют сведения в ЕГРН, ограничения и обременения: ипотека, весь объект, договор залога 29.01.15/1 от 29.01.2015, в залоге у ООО «АНТ», ограничения прав на земельный участок, предусмотренные статьей 56 Земельного кодекса РФ, 35.21.0.20, Приказ «Об утверждении границ территории объектов культурного наследия, расположенных на территории города Череповца» № 305-0 от 26.09.2017 (запрещение строительства объектов капитального строительств и др.)</w:t>
      </w:r>
      <w:r>
        <w:t xml:space="preserve"> – </w:t>
      </w:r>
      <w:r w:rsidRPr="007D37A0">
        <w:t>33</w:t>
      </w:r>
      <w:r>
        <w:t xml:space="preserve"> </w:t>
      </w:r>
      <w:r w:rsidRPr="007D37A0">
        <w:t>162</w:t>
      </w:r>
      <w:r>
        <w:t xml:space="preserve"> </w:t>
      </w:r>
      <w:r w:rsidRPr="007D37A0">
        <w:t>765,19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EA69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D37A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EB102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D37A0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D37A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7E66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755CC">
        <w:rPr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755CC">
        <w:rPr>
          <w:bCs/>
        </w:rPr>
        <w:t>202</w:t>
      </w:r>
      <w:r w:rsidR="002755CC" w:rsidRPr="002755CC">
        <w:rPr>
          <w:bCs/>
        </w:rPr>
        <w:t>2</w:t>
      </w:r>
      <w:r w:rsidR="00E12685" w:rsidRPr="002755CC">
        <w:rPr>
          <w:bCs/>
        </w:rPr>
        <w:t xml:space="preserve"> г.</w:t>
      </w:r>
      <w:r w:rsidRPr="002755CC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2755CC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755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D638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755CC" w:rsidRPr="002755CC">
        <w:rPr>
          <w:b/>
          <w:bCs/>
          <w:color w:val="000000"/>
        </w:rPr>
        <w:t>07 декабря</w:t>
      </w:r>
      <w:r w:rsidR="00E12685" w:rsidRPr="002755C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755CC">
        <w:rPr>
          <w:b/>
          <w:bCs/>
        </w:rPr>
        <w:t>202</w:t>
      </w:r>
      <w:r w:rsidR="002755CC" w:rsidRPr="002755CC">
        <w:rPr>
          <w:b/>
          <w:bCs/>
        </w:rPr>
        <w:t>1</w:t>
      </w:r>
      <w:r w:rsidR="00E12685" w:rsidRPr="002755CC">
        <w:rPr>
          <w:b/>
          <w:bCs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755CC">
        <w:rPr>
          <w:b/>
          <w:bCs/>
          <w:color w:val="000000"/>
        </w:rPr>
        <w:t xml:space="preserve">27 января </w:t>
      </w:r>
      <w:r w:rsidR="00E12685">
        <w:rPr>
          <w:b/>
        </w:rPr>
        <w:t>202</w:t>
      </w:r>
      <w:r w:rsidR="002755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316F3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755CC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755CC">
        <w:rPr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18B19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755CC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56225C7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лота;</w:t>
      </w:r>
    </w:p>
    <w:p w14:paraId="01503F87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90,48% от начальной цены продажи лота;</w:t>
      </w:r>
    </w:p>
    <w:p w14:paraId="7EA1D7A9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80,96% от начальной цены продажи лота;</w:t>
      </w:r>
    </w:p>
    <w:p w14:paraId="21DB6263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71,44% от начальной цены продажи лота;</w:t>
      </w:r>
    </w:p>
    <w:p w14:paraId="785A35DF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61,92% от начальной цены продажи лота;</w:t>
      </w:r>
    </w:p>
    <w:p w14:paraId="37D197E9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52,40% от начальной цены продажи лота;</w:t>
      </w:r>
    </w:p>
    <w:p w14:paraId="7EBD8EB2" w14:textId="77777777" w:rsidR="00C51FF0" w:rsidRPr="00C51FF0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42,88% от начальной цены продажи лота;</w:t>
      </w:r>
    </w:p>
    <w:p w14:paraId="3AC251A4" w14:textId="435CA9E0" w:rsidR="001D4B58" w:rsidRDefault="00C51FF0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F0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33,36%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ECDB2D2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DD5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1ACE057" w:rsidR="00EA7238" w:rsidRDefault="006B43E3" w:rsidP="00C5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5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51FF0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Каменноостровский пр., д. 40А, офис 505, тел. +7 (904) 330-43-44; у ОТ: </w:t>
      </w:r>
      <w:hyperlink r:id="rId7" w:history="1">
        <w:r w:rsidR="00C51FF0" w:rsidRPr="006D098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51FF0" w:rsidRPr="00C51F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1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FF0" w:rsidRPr="00C51FF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C51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755CC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7D37A0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51FF0"/>
    <w:rsid w:val="00C9585C"/>
    <w:rsid w:val="00D57DB3"/>
    <w:rsid w:val="00D62667"/>
    <w:rsid w:val="00DB0166"/>
    <w:rsid w:val="00DD5B8A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5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2021-11-25T14:19:00Z</dcterms:modified>
</cp:coreProperties>
</file>