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8A10F5" w:rsidRDefault="00123209" w:rsidP="005E23C5">
      <w:pPr>
        <w:pStyle w:val="a3"/>
        <w:jc w:val="left"/>
        <w:rPr>
          <w:rFonts w:ascii="Verdana" w:hAnsi="Verdana"/>
          <w:b/>
          <w:sz w:val="20"/>
          <w:lang w:val="en-US"/>
        </w:rPr>
      </w:pPr>
      <w:bookmarkStart w:id="0" w:name="_GoBack"/>
      <w:bookmarkEnd w:id="0"/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3D41E49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</w:t>
      </w:r>
      <w:r w:rsidR="00572C9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633CF9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3DCE7BB" w14:textId="093235A9" w:rsidR="00572C9D" w:rsidRDefault="00572C9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7562D" w14:textId="755B1FB9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50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8FCB0FE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0037B2EA" w:rsidR="00F56FF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D77C7E" w14:textId="52E7F7A7" w:rsidR="00F50B5A" w:rsidRDefault="00F50B5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50B5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купли-продажи недвижимого имущества (далее по тексту - «Договор») о нижеследующем:</w:t>
      </w:r>
    </w:p>
    <w:p w14:paraId="2814AD6B" w14:textId="77777777" w:rsidR="00083271" w:rsidRPr="008509DF" w:rsidRDefault="0008327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2644485C" w:rsidR="00171986" w:rsidRPr="008509DF" w:rsidRDefault="00171986" w:rsidP="0001181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0FDB832" w14:textId="4973C93D" w:rsidR="00B87B84" w:rsidRDefault="00545F3F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1. </w:t>
      </w:r>
      <w:r w:rsidR="00BD7FC5" w:rsidRPr="00545F3F">
        <w:rPr>
          <w:rFonts w:ascii="Verdana" w:hAnsi="Verdana" w:cs="Times New Roman"/>
          <w:color w:val="000000" w:themeColor="text1"/>
        </w:rPr>
        <w:t xml:space="preserve">По </w:t>
      </w:r>
      <w:r w:rsidR="00CB783A" w:rsidRPr="00545F3F">
        <w:rPr>
          <w:rFonts w:ascii="Verdana" w:hAnsi="Verdana" w:cs="Times New Roman"/>
          <w:color w:val="000000" w:themeColor="text1"/>
        </w:rPr>
        <w:t>Договору</w:t>
      </w:r>
      <w:r w:rsidR="00BD7FC5" w:rsidRPr="00545F3F">
        <w:rPr>
          <w:rFonts w:ascii="Verdana" w:hAnsi="Verdana" w:cs="Times New Roman"/>
          <w:color w:val="000000" w:themeColor="text1"/>
        </w:rPr>
        <w:t xml:space="preserve"> </w:t>
      </w:r>
      <w:r w:rsidR="00171986" w:rsidRPr="00545F3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45F3F">
        <w:rPr>
          <w:rFonts w:ascii="Verdana" w:hAnsi="Verdana" w:cs="Times New Roman"/>
          <w:color w:val="000000" w:themeColor="text1"/>
        </w:rPr>
        <w:t>я</w:t>
      </w:r>
      <w:r w:rsidR="00171986" w:rsidRPr="00545F3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545F3F">
        <w:rPr>
          <w:rFonts w:ascii="Verdana" w:hAnsi="Verdana" w:cs="Times New Roman"/>
        </w:rPr>
        <w:t xml:space="preserve">обязуется принять и оплатить </w:t>
      </w:r>
      <w:r w:rsidR="003C32B2" w:rsidRPr="00011811">
        <w:rPr>
          <w:rFonts w:ascii="Verdana" w:hAnsi="Verdana"/>
        </w:rPr>
        <w:t>недвижимое имущ</w:t>
      </w:r>
      <w:r w:rsidR="00FF7586" w:rsidRPr="00011811">
        <w:rPr>
          <w:rFonts w:ascii="Verdana" w:hAnsi="Verdana"/>
        </w:rPr>
        <w:t xml:space="preserve">ество, </w:t>
      </w:r>
      <w:r w:rsidR="00D1038C" w:rsidRPr="00545F3F">
        <w:rPr>
          <w:rFonts w:ascii="Verdana" w:hAnsi="Verdana" w:cs="Times New Roman"/>
          <w:color w:val="000000" w:themeColor="text1"/>
        </w:rPr>
        <w:t>в составе</w:t>
      </w:r>
      <w:r w:rsidR="00D1038C" w:rsidRPr="00011811">
        <w:rPr>
          <w:rFonts w:ascii="Verdana" w:hAnsi="Verdana"/>
        </w:rPr>
        <w:t>:</w:t>
      </w:r>
    </w:p>
    <w:p w14:paraId="14F0307C" w14:textId="36CC60EB" w:rsidR="00545F3F" w:rsidRPr="00011811" w:rsidRDefault="00CB0CB0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  <w:color w:val="000000" w:themeColor="text1"/>
        </w:rPr>
      </w:pPr>
      <w:r w:rsidRPr="00011811">
        <w:rPr>
          <w:rFonts w:ascii="Verdana" w:hAnsi="Verdana" w:cs="Times New Roman"/>
          <w:color w:val="000000" w:themeColor="text1"/>
          <w:sz w:val="10"/>
          <w:szCs w:val="10"/>
        </w:rPr>
        <w:br/>
      </w:r>
      <w:r w:rsidR="00545F3F" w:rsidRPr="00B87B84">
        <w:rPr>
          <w:rFonts w:ascii="Verdana" w:hAnsi="Verdana" w:cs="Times New Roman"/>
          <w:color w:val="000000" w:themeColor="text1"/>
        </w:rPr>
        <w:t xml:space="preserve">      </w:t>
      </w:r>
      <w:r w:rsidR="00545F3F" w:rsidRPr="00011811">
        <w:rPr>
          <w:rFonts w:ascii="Verdana" w:hAnsi="Verdana"/>
          <w:color w:val="000000" w:themeColor="text1"/>
        </w:rPr>
        <w:t xml:space="preserve">1.1.1. </w:t>
      </w:r>
      <w:r w:rsidR="00A90F04">
        <w:rPr>
          <w:rFonts w:ascii="Verdana" w:hAnsi="Verdana"/>
          <w:color w:val="000000" w:themeColor="text1"/>
        </w:rPr>
        <w:t>Н</w:t>
      </w:r>
      <w:r w:rsidR="004F4362" w:rsidRPr="00011811">
        <w:rPr>
          <w:rFonts w:ascii="Verdana" w:hAnsi="Verdana"/>
          <w:color w:val="000000" w:themeColor="text1"/>
        </w:rPr>
        <w:t>ежилое здание,</w:t>
      </w:r>
      <w:r w:rsidR="00FF7586" w:rsidRPr="00011811">
        <w:rPr>
          <w:rFonts w:ascii="Verdana" w:hAnsi="Verdana"/>
          <w:color w:val="000000" w:themeColor="text1"/>
        </w:rPr>
        <w:t xml:space="preserve"> общей площадью </w:t>
      </w:r>
      <w:r w:rsidR="00A90F04">
        <w:rPr>
          <w:rFonts w:ascii="Verdana" w:hAnsi="Verdana"/>
          <w:color w:val="000000" w:themeColor="text1"/>
        </w:rPr>
        <w:t>2651,</w:t>
      </w:r>
      <w:r w:rsidR="00A90F04" w:rsidRPr="00A90F04">
        <w:rPr>
          <w:rFonts w:ascii="Verdana" w:hAnsi="Verdana"/>
          <w:color w:val="000000" w:themeColor="text1"/>
        </w:rPr>
        <w:t>2</w:t>
      </w:r>
      <w:r w:rsidR="00A90F04">
        <w:rPr>
          <w:rFonts w:ascii="Verdana" w:hAnsi="Verdana"/>
          <w:color w:val="000000" w:themeColor="text1"/>
        </w:rPr>
        <w:t xml:space="preserve"> </w:t>
      </w:r>
      <w:r w:rsidR="00FF7586" w:rsidRPr="00011811">
        <w:rPr>
          <w:rFonts w:ascii="Verdana" w:hAnsi="Verdana"/>
          <w:color w:val="000000" w:themeColor="text1"/>
        </w:rPr>
        <w:t>кв. м</w:t>
      </w:r>
      <w:r w:rsidR="00C44C9A" w:rsidRPr="00011811">
        <w:rPr>
          <w:rFonts w:ascii="Verdana" w:hAnsi="Verdana"/>
          <w:color w:val="000000" w:themeColor="text1"/>
        </w:rPr>
        <w:t>,</w:t>
      </w:r>
      <w:r w:rsidR="00FF7586" w:rsidRPr="00011811">
        <w:rPr>
          <w:rFonts w:ascii="Verdana" w:hAnsi="Verdana"/>
          <w:color w:val="000000" w:themeColor="text1"/>
        </w:rPr>
        <w:t xml:space="preserve"> расположенное</w:t>
      </w:r>
      <w:r w:rsidR="00E50B7F" w:rsidRPr="00011811">
        <w:rPr>
          <w:rFonts w:ascii="Verdana" w:hAnsi="Verdana"/>
          <w:color w:val="000000" w:themeColor="text1"/>
        </w:rPr>
        <w:t xml:space="preserve"> по</w:t>
      </w:r>
      <w:r w:rsidR="00FF7586" w:rsidRPr="00011811">
        <w:rPr>
          <w:rFonts w:ascii="Verdana" w:hAnsi="Verdana"/>
          <w:color w:val="000000" w:themeColor="text1"/>
        </w:rPr>
        <w:t xml:space="preserve"> адресу: </w:t>
      </w:r>
      <w:r w:rsidR="00A90F04" w:rsidRPr="00A90F04">
        <w:rPr>
          <w:rFonts w:ascii="Verdana" w:hAnsi="Verdana"/>
          <w:color w:val="000000" w:themeColor="text1"/>
        </w:rPr>
        <w:t>Иркутская область, г. Иркутск, ул. Розы Люксембург, д. 263-в</w:t>
      </w:r>
      <w:r w:rsidR="00E50B7F" w:rsidRPr="00011811">
        <w:rPr>
          <w:rFonts w:ascii="Verdana" w:hAnsi="Verdana"/>
          <w:color w:val="000000" w:themeColor="text1"/>
        </w:rPr>
        <w:t>,</w:t>
      </w:r>
      <w:r w:rsidR="00FF7586" w:rsidRPr="00011811">
        <w:rPr>
          <w:rFonts w:ascii="Verdana" w:hAnsi="Verdana"/>
          <w:color w:val="000000" w:themeColor="text1"/>
        </w:rPr>
        <w:t xml:space="preserve"> </w:t>
      </w:r>
      <w:r w:rsidR="00E50B7F" w:rsidRPr="00011811">
        <w:rPr>
          <w:rFonts w:ascii="Verdana" w:hAnsi="Verdana"/>
          <w:color w:val="000000" w:themeColor="text1"/>
        </w:rPr>
        <w:t>кадастровый номер</w:t>
      </w:r>
      <w:r w:rsidR="00FF7586" w:rsidRPr="00011811">
        <w:rPr>
          <w:rFonts w:ascii="Verdana" w:hAnsi="Verdana"/>
          <w:color w:val="000000" w:themeColor="text1"/>
        </w:rPr>
        <w:t xml:space="preserve">: </w:t>
      </w:r>
      <w:r w:rsidR="00A90F04" w:rsidRPr="00A90F04">
        <w:rPr>
          <w:rFonts w:ascii="Verdana" w:hAnsi="Verdana"/>
          <w:color w:val="000000" w:themeColor="text1"/>
        </w:rPr>
        <w:t>38:36:000005:17706</w:t>
      </w:r>
      <w:r w:rsidR="001D5993" w:rsidRPr="00011811">
        <w:rPr>
          <w:rFonts w:ascii="Verdana" w:hAnsi="Verdana"/>
          <w:color w:val="000000" w:themeColor="text1"/>
        </w:rPr>
        <w:t xml:space="preserve">. </w:t>
      </w:r>
    </w:p>
    <w:p w14:paraId="1C31048A" w14:textId="33E6BFC5" w:rsidR="00E50B7F" w:rsidRPr="00011811" w:rsidRDefault="00545F3F" w:rsidP="00011811">
      <w:pPr>
        <w:spacing w:after="0" w:line="240" w:lineRule="auto"/>
        <w:ind w:firstLine="426"/>
        <w:jc w:val="both"/>
        <w:rPr>
          <w:rFonts w:ascii="Verdana" w:hAnsi="Verdana"/>
        </w:rPr>
      </w:pPr>
      <w:r w:rsidRPr="00011811">
        <w:rPr>
          <w:rFonts w:ascii="Verdana" w:hAnsi="Verdana"/>
          <w:color w:val="000000" w:themeColor="text1"/>
          <w:sz w:val="20"/>
          <w:szCs w:val="20"/>
        </w:rPr>
        <w:t>1.1.</w:t>
      </w:r>
      <w:r w:rsidR="00BA06E2">
        <w:rPr>
          <w:rFonts w:ascii="Verdana" w:hAnsi="Verdana"/>
          <w:color w:val="000000" w:themeColor="text1"/>
          <w:sz w:val="20"/>
          <w:szCs w:val="20"/>
        </w:rPr>
        <w:t>2</w:t>
      </w:r>
      <w:r w:rsidRPr="00011811">
        <w:rPr>
          <w:rFonts w:ascii="Verdana" w:hAnsi="Verdana"/>
          <w:color w:val="000000" w:themeColor="text1"/>
          <w:sz w:val="20"/>
          <w:szCs w:val="20"/>
        </w:rPr>
        <w:t xml:space="preserve">.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8466D" w:rsidRPr="00011811">
        <w:rPr>
          <w:rFonts w:ascii="Verdana" w:hAnsi="Verdana"/>
          <w:sz w:val="20"/>
          <w:szCs w:val="20"/>
        </w:rPr>
        <w:t>Земельный участок</w:t>
      </w:r>
      <w:r w:rsidR="00E50B7F" w:rsidRPr="00011811">
        <w:rPr>
          <w:rFonts w:ascii="Verdana" w:hAnsi="Verdana"/>
          <w:sz w:val="20"/>
          <w:szCs w:val="20"/>
        </w:rPr>
        <w:t xml:space="preserve">, общей площадью </w:t>
      </w:r>
      <w:r w:rsidR="00876A9F" w:rsidRPr="008A10F5">
        <w:rPr>
          <w:rFonts w:ascii="Verdana" w:hAnsi="Verdana"/>
          <w:sz w:val="20"/>
          <w:szCs w:val="20"/>
        </w:rPr>
        <w:t>1469</w:t>
      </w:r>
      <w:r w:rsidR="006C256A">
        <w:rPr>
          <w:rFonts w:ascii="Verdana" w:hAnsi="Verdana"/>
          <w:sz w:val="20"/>
          <w:szCs w:val="20"/>
        </w:rPr>
        <w:t>,0</w:t>
      </w:r>
      <w:r w:rsidR="00876A9F" w:rsidRPr="008A10F5">
        <w:rPr>
          <w:rFonts w:ascii="Verdana" w:hAnsi="Verdana"/>
          <w:sz w:val="20"/>
          <w:szCs w:val="20"/>
        </w:rPr>
        <w:t xml:space="preserve"> </w:t>
      </w:r>
      <w:r w:rsidR="00E50B7F" w:rsidRPr="00011811">
        <w:rPr>
          <w:rFonts w:ascii="Verdana" w:hAnsi="Verdana"/>
          <w:sz w:val="20"/>
          <w:szCs w:val="20"/>
        </w:rPr>
        <w:t>кв. м. расположенн</w:t>
      </w:r>
      <w:r w:rsidR="00452639" w:rsidRPr="00011811">
        <w:rPr>
          <w:rFonts w:ascii="Verdana" w:hAnsi="Verdana"/>
          <w:sz w:val="20"/>
          <w:szCs w:val="20"/>
        </w:rPr>
        <w:t>ый</w:t>
      </w:r>
      <w:r w:rsidR="00E50B7F" w:rsidRPr="00011811">
        <w:rPr>
          <w:rFonts w:ascii="Verdana" w:hAnsi="Verdana"/>
          <w:sz w:val="20"/>
          <w:szCs w:val="20"/>
        </w:rPr>
        <w:t xml:space="preserve"> по адресу: </w:t>
      </w:r>
      <w:r w:rsidR="006C256A">
        <w:rPr>
          <w:rFonts w:ascii="Verdana" w:hAnsi="Verdana"/>
          <w:sz w:val="20"/>
          <w:szCs w:val="20"/>
        </w:rPr>
        <w:t xml:space="preserve">установлено относительно ориентира, расположенного в границах участка. Почтовый адрес ориентира: </w:t>
      </w:r>
      <w:r w:rsidR="00876A9F" w:rsidRPr="00876A9F">
        <w:rPr>
          <w:rFonts w:ascii="Verdana" w:hAnsi="Verdana"/>
          <w:sz w:val="20"/>
          <w:szCs w:val="20"/>
        </w:rPr>
        <w:t>Иркутская обл., в Ленинском районе г. Иркутска по ул. Розы Люксембург, 263-а</w:t>
      </w:r>
      <w:r w:rsidR="00E50B7F" w:rsidRPr="00011811">
        <w:rPr>
          <w:rFonts w:ascii="Verdana" w:hAnsi="Verdana"/>
          <w:sz w:val="20"/>
          <w:szCs w:val="20"/>
        </w:rPr>
        <w:t xml:space="preserve">, кадастровый номер: </w:t>
      </w:r>
      <w:r w:rsidR="00876A9F" w:rsidRPr="00876A9F">
        <w:rPr>
          <w:rFonts w:ascii="Verdana" w:hAnsi="Verdana"/>
          <w:sz w:val="20"/>
          <w:szCs w:val="20"/>
        </w:rPr>
        <w:t>38:36:000005:41</w:t>
      </w:r>
      <w:r w:rsidR="00E50B7F" w:rsidRPr="00011811">
        <w:rPr>
          <w:rFonts w:ascii="Verdana" w:hAnsi="Verdana" w:cs="Arial"/>
          <w:sz w:val="20"/>
          <w:szCs w:val="20"/>
        </w:rPr>
        <w:t>;</w:t>
      </w:r>
      <w:r w:rsidR="00452639" w:rsidRPr="00011811">
        <w:rPr>
          <w:rFonts w:ascii="Verdana" w:hAnsi="Verdana" w:cs="Arial"/>
          <w:sz w:val="20"/>
          <w:szCs w:val="20"/>
        </w:rPr>
        <w:t xml:space="preserve"> категория земель: земли </w:t>
      </w:r>
      <w:r w:rsidR="00452639" w:rsidRPr="00011811">
        <w:rPr>
          <w:rFonts w:ascii="Verdana" w:hAnsi="Verdana" w:cs="Arial"/>
          <w:sz w:val="20"/>
          <w:szCs w:val="20"/>
        </w:rPr>
        <w:lastRenderedPageBreak/>
        <w:t xml:space="preserve">населенных пунктов; вид разрешенного использования: </w:t>
      </w:r>
      <w:r w:rsidR="001D7E81">
        <w:rPr>
          <w:rFonts w:ascii="Verdana" w:hAnsi="Verdana" w:cs="Arial"/>
          <w:sz w:val="20"/>
          <w:szCs w:val="20"/>
        </w:rPr>
        <w:t>для эксплуатации существующего магазина</w:t>
      </w:r>
      <w:r w:rsidR="00452639" w:rsidRPr="00011811">
        <w:rPr>
          <w:rFonts w:ascii="Verdana" w:hAnsi="Verdana" w:cs="Arial"/>
          <w:sz w:val="20"/>
          <w:szCs w:val="20"/>
        </w:rPr>
        <w:t>.</w:t>
      </w:r>
    </w:p>
    <w:p w14:paraId="63C3ABE8" w14:textId="43AC488D" w:rsidR="00D3435B" w:rsidRDefault="00D3435B" w:rsidP="00011811">
      <w:pPr>
        <w:pStyle w:val="a5"/>
        <w:ind w:left="0" w:firstLine="426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Нежил</w:t>
      </w:r>
      <w:r w:rsidR="008A10F5">
        <w:rPr>
          <w:rFonts w:ascii="Verdana" w:hAnsi="Verdana"/>
          <w:color w:val="000000" w:themeColor="text1"/>
        </w:rPr>
        <w:t>о</w:t>
      </w:r>
      <w:r>
        <w:rPr>
          <w:rFonts w:ascii="Verdana" w:hAnsi="Verdana"/>
          <w:color w:val="000000" w:themeColor="text1"/>
        </w:rPr>
        <w:t>е здани</w:t>
      </w:r>
      <w:r w:rsidR="008A10F5">
        <w:rPr>
          <w:rFonts w:ascii="Verdana" w:hAnsi="Verdana"/>
          <w:color w:val="000000" w:themeColor="text1"/>
        </w:rPr>
        <w:t xml:space="preserve">е с кадастровым номером </w:t>
      </w:r>
      <w:r w:rsidR="008A10F5" w:rsidRPr="00A90F04">
        <w:rPr>
          <w:rFonts w:ascii="Verdana" w:hAnsi="Verdana"/>
          <w:color w:val="000000" w:themeColor="text1"/>
        </w:rPr>
        <w:t>38:36:000005:17706</w:t>
      </w:r>
      <w:r>
        <w:rPr>
          <w:rFonts w:ascii="Verdana" w:hAnsi="Verdana"/>
          <w:color w:val="000000" w:themeColor="text1"/>
        </w:rPr>
        <w:t>, расположен</w:t>
      </w:r>
      <w:r w:rsidR="008A10F5">
        <w:rPr>
          <w:rFonts w:ascii="Verdana" w:hAnsi="Verdana"/>
          <w:color w:val="000000" w:themeColor="text1"/>
        </w:rPr>
        <w:t>о</w:t>
      </w:r>
      <w:r>
        <w:rPr>
          <w:rFonts w:ascii="Verdana" w:hAnsi="Verdana"/>
          <w:color w:val="000000" w:themeColor="text1"/>
        </w:rPr>
        <w:t xml:space="preserve"> на земельном участке с кадастровым номером</w:t>
      </w:r>
      <w:r w:rsidRPr="00FF7586">
        <w:rPr>
          <w:rFonts w:ascii="Verdana" w:hAnsi="Verdana"/>
          <w:color w:val="000000" w:themeColor="text1"/>
        </w:rPr>
        <w:t xml:space="preserve"> </w:t>
      </w:r>
      <w:r w:rsidR="008A10F5" w:rsidRPr="008A10F5">
        <w:rPr>
          <w:rFonts w:ascii="Verdana" w:hAnsi="Verdana"/>
          <w:color w:val="000000" w:themeColor="text1"/>
        </w:rPr>
        <w:t>38:36:000005:41</w:t>
      </w:r>
      <w:r>
        <w:rPr>
          <w:rFonts w:ascii="Verdana" w:hAnsi="Verdana"/>
          <w:color w:val="000000" w:themeColor="text1"/>
        </w:rPr>
        <w:t>.</w:t>
      </w:r>
    </w:p>
    <w:p w14:paraId="694757A9" w14:textId="77777777" w:rsidR="00C13A7C" w:rsidRPr="00011811" w:rsidRDefault="00C13A7C" w:rsidP="00011811">
      <w:pPr>
        <w:pStyle w:val="a5"/>
        <w:ind w:left="0" w:firstLine="426"/>
        <w:jc w:val="both"/>
        <w:rPr>
          <w:rFonts w:ascii="Verdana" w:hAnsi="Verdana"/>
          <w:color w:val="000000" w:themeColor="text1"/>
          <w:sz w:val="10"/>
          <w:szCs w:val="10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3435B" w14:paraId="4FB99D4B" w14:textId="77777777" w:rsidTr="00011811">
        <w:trPr>
          <w:trHeight w:val="1276"/>
        </w:trPr>
        <w:tc>
          <w:tcPr>
            <w:tcW w:w="9639" w:type="dxa"/>
          </w:tcPr>
          <w:p w14:paraId="6BE3518E" w14:textId="36BE61A8" w:rsidR="00453FF7" w:rsidRDefault="000D2DC3" w:rsidP="00011811">
            <w:pPr>
              <w:pStyle w:val="a5"/>
              <w:tabs>
                <w:tab w:val="left" w:pos="743"/>
              </w:tabs>
              <w:ind w:left="-108" w:right="179" w:firstLine="426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1.2.1.</w:t>
            </w:r>
            <w:r w:rsidR="00D3435B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DD7705">
              <w:rPr>
                <w:rFonts w:ascii="Verdana" w:hAnsi="Verdana"/>
                <w:color w:val="000000" w:themeColor="text1"/>
              </w:rPr>
              <w:t xml:space="preserve">Нежилое здание </w:t>
            </w:r>
            <w:r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="008A10F5" w:rsidRPr="008A10F5">
              <w:rPr>
                <w:rFonts w:ascii="Verdana" w:hAnsi="Verdana"/>
                <w:color w:val="000000" w:themeColor="text1"/>
              </w:rPr>
              <w:t>38:36:000005:17706</w:t>
            </w:r>
            <w:r w:rsidR="008A10F5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DD7705">
              <w:rPr>
                <w:rFonts w:ascii="Verdana" w:hAnsi="Verdana"/>
                <w:color w:val="000000" w:themeColor="text1"/>
              </w:rPr>
              <w:t>принадлежит Продавцу на праве собственности, о чем в Едином государственном реестре недвижимости сделана запись о государственной регистрации права</w:t>
            </w:r>
            <w:r w:rsidR="00005863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DD7705">
              <w:rPr>
                <w:rFonts w:ascii="Verdana" w:hAnsi="Verdana"/>
                <w:color w:val="000000" w:themeColor="text1"/>
              </w:rPr>
              <w:t xml:space="preserve">№ </w:t>
            </w:r>
            <w:r w:rsidR="00876A9F" w:rsidRPr="00876A9F">
              <w:rPr>
                <w:rFonts w:ascii="Verdana" w:hAnsi="Verdana"/>
                <w:color w:val="000000" w:themeColor="text1"/>
              </w:rPr>
              <w:t>38:36:000005:17706-38/124/2020-24</w:t>
            </w:r>
            <w:r w:rsidR="00876A9F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DD7705">
              <w:rPr>
                <w:rFonts w:ascii="Verdana" w:hAnsi="Verdana"/>
                <w:color w:val="000000" w:themeColor="text1"/>
              </w:rPr>
              <w:t xml:space="preserve">от </w:t>
            </w:r>
            <w:r w:rsidR="00876A9F">
              <w:rPr>
                <w:rFonts w:ascii="Verdana" w:hAnsi="Verdana"/>
                <w:color w:val="000000" w:themeColor="text1"/>
              </w:rPr>
              <w:t>04</w:t>
            </w:r>
            <w:r w:rsidR="00D3435B" w:rsidRPr="00DD7705">
              <w:rPr>
                <w:rFonts w:ascii="Verdana" w:hAnsi="Verdana"/>
                <w:color w:val="000000" w:themeColor="text1"/>
              </w:rPr>
              <w:t>.0</w:t>
            </w:r>
            <w:r w:rsidR="00876A9F">
              <w:rPr>
                <w:rFonts w:ascii="Verdana" w:hAnsi="Verdana"/>
                <w:color w:val="000000" w:themeColor="text1"/>
              </w:rPr>
              <w:t>3</w:t>
            </w:r>
            <w:r w:rsidR="00D3435B" w:rsidRPr="00DD7705">
              <w:rPr>
                <w:rFonts w:ascii="Verdana" w:hAnsi="Verdana"/>
                <w:color w:val="000000" w:themeColor="text1"/>
              </w:rPr>
              <w:t>.20</w:t>
            </w:r>
            <w:r w:rsidR="00876A9F">
              <w:rPr>
                <w:rFonts w:ascii="Verdana" w:hAnsi="Verdana"/>
                <w:color w:val="000000" w:themeColor="text1"/>
              </w:rPr>
              <w:t>20</w:t>
            </w:r>
            <w:r w:rsidR="00D3435B" w:rsidRPr="00DD7705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</w:t>
            </w:r>
            <w:r w:rsidR="00D3435B">
              <w:rPr>
                <w:rFonts w:ascii="Verdana" w:hAnsi="Verdana"/>
                <w:color w:val="000000" w:themeColor="text1"/>
              </w:rPr>
              <w:t xml:space="preserve">от </w:t>
            </w:r>
            <w:r w:rsidR="00FF2BCD">
              <w:rPr>
                <w:rFonts w:ascii="Verdana" w:hAnsi="Verdana"/>
                <w:color w:val="000000" w:themeColor="text1"/>
              </w:rPr>
              <w:t>04</w:t>
            </w:r>
            <w:r w:rsidR="00D3435B" w:rsidRPr="003B77CB">
              <w:rPr>
                <w:rFonts w:ascii="Verdana" w:hAnsi="Verdana"/>
                <w:color w:val="000000" w:themeColor="text1"/>
              </w:rPr>
              <w:t>.0</w:t>
            </w:r>
            <w:r w:rsidR="00FF2BCD">
              <w:rPr>
                <w:rFonts w:ascii="Verdana" w:hAnsi="Verdana"/>
                <w:color w:val="000000" w:themeColor="text1"/>
              </w:rPr>
              <w:t>3</w:t>
            </w:r>
            <w:r w:rsidR="00D3435B" w:rsidRPr="003B77CB">
              <w:rPr>
                <w:rFonts w:ascii="Verdana" w:hAnsi="Verdana"/>
                <w:color w:val="000000" w:themeColor="text1"/>
              </w:rPr>
              <w:t>.2020</w:t>
            </w:r>
            <w:r w:rsidR="00453FF7">
              <w:rPr>
                <w:rFonts w:ascii="Verdana" w:hAnsi="Verdana"/>
                <w:color w:val="000000" w:themeColor="text1"/>
              </w:rPr>
              <w:t xml:space="preserve"> г.</w:t>
            </w:r>
            <w:r w:rsidR="00D3435B">
              <w:rPr>
                <w:rFonts w:ascii="Verdana" w:hAnsi="Verdana"/>
                <w:color w:val="000000" w:themeColor="text1"/>
              </w:rPr>
              <w:t>;</w:t>
            </w:r>
          </w:p>
          <w:p w14:paraId="6B0C4667" w14:textId="553A672E" w:rsidR="00D3435B" w:rsidRDefault="00005863" w:rsidP="00011811">
            <w:pPr>
              <w:pStyle w:val="a5"/>
              <w:tabs>
                <w:tab w:val="left" w:pos="743"/>
              </w:tabs>
              <w:ind w:left="-108" w:right="179" w:firstLine="426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1.2.5.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Земельный участок </w:t>
            </w:r>
            <w:r w:rsidR="00545F3F" w:rsidRPr="00011811"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="00BA06E2" w:rsidRPr="00BA06E2">
              <w:rPr>
                <w:rFonts w:ascii="Verdana" w:hAnsi="Verdana"/>
              </w:rPr>
              <w:t>38:36:000005:41</w:t>
            </w:r>
            <w:r w:rsidR="00BA06E2">
              <w:rPr>
                <w:rFonts w:ascii="Verdana" w:hAnsi="Verdana"/>
              </w:rPr>
              <w:t xml:space="preserve">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="00BA06E2" w:rsidRPr="00BA06E2">
              <w:rPr>
                <w:rFonts w:ascii="Verdana" w:hAnsi="Verdana"/>
              </w:rPr>
              <w:t>38:36:000005:41-38/124/2020-15</w:t>
            </w:r>
            <w:r w:rsidR="00BA06E2" w:rsidRPr="00E669EA">
              <w:rPr>
                <w:rFonts w:ascii="Verdana" w:hAnsi="Verdana"/>
              </w:rPr>
              <w:t xml:space="preserve">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от </w:t>
            </w:r>
            <w:r w:rsidR="00BA06E2" w:rsidRPr="00E669EA">
              <w:rPr>
                <w:rFonts w:ascii="Verdana" w:hAnsi="Verdana"/>
                <w:color w:val="000000" w:themeColor="text1"/>
              </w:rPr>
              <w:t>04</w:t>
            </w:r>
            <w:r w:rsidR="00D3435B" w:rsidRPr="00011811">
              <w:rPr>
                <w:rFonts w:ascii="Verdana" w:hAnsi="Verdana"/>
                <w:color w:val="000000" w:themeColor="text1"/>
              </w:rPr>
              <w:t>.0</w:t>
            </w:r>
            <w:r w:rsidR="00BA06E2" w:rsidRPr="00E669EA">
              <w:rPr>
                <w:rFonts w:ascii="Verdana" w:hAnsi="Verdana"/>
                <w:color w:val="000000" w:themeColor="text1"/>
              </w:rPr>
              <w:t>3</w:t>
            </w:r>
            <w:r w:rsidR="00D3435B" w:rsidRPr="00011811">
              <w:rPr>
                <w:rFonts w:ascii="Verdana" w:hAnsi="Verdana"/>
                <w:color w:val="000000" w:themeColor="text1"/>
              </w:rPr>
              <w:t>.20</w:t>
            </w:r>
            <w:r w:rsidR="00BA06E2" w:rsidRPr="00E669EA">
              <w:rPr>
                <w:rFonts w:ascii="Verdana" w:hAnsi="Verdana"/>
                <w:color w:val="000000" w:themeColor="text1"/>
              </w:rPr>
              <w:t>20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 w:rsidRPr="00011811">
              <w:rPr>
                <w:rFonts w:ascii="Verdana" w:hAnsi="Verdana"/>
                <w:color w:val="000000" w:themeColor="text1"/>
              </w:rPr>
              <w:t>1</w:t>
            </w:r>
            <w:r w:rsidR="00BA06E2" w:rsidRPr="00E669EA">
              <w:rPr>
                <w:rFonts w:ascii="Verdana" w:hAnsi="Verdana"/>
                <w:color w:val="000000" w:themeColor="text1"/>
              </w:rPr>
              <w:t>9</w:t>
            </w:r>
            <w:r w:rsidR="00D3435B" w:rsidRPr="00011811">
              <w:rPr>
                <w:rFonts w:ascii="Verdana" w:hAnsi="Verdana"/>
                <w:color w:val="000000" w:themeColor="text1"/>
              </w:rPr>
              <w:t>.</w:t>
            </w:r>
            <w:r w:rsidR="00BA06E2" w:rsidRPr="00435A39">
              <w:rPr>
                <w:rFonts w:ascii="Verdana" w:hAnsi="Verdana"/>
                <w:color w:val="000000" w:themeColor="text1"/>
              </w:rPr>
              <w:t>11</w:t>
            </w:r>
            <w:r w:rsidR="00D3435B" w:rsidRPr="00011811">
              <w:rPr>
                <w:rFonts w:ascii="Verdana" w:hAnsi="Verdana"/>
                <w:color w:val="000000" w:themeColor="text1"/>
              </w:rPr>
              <w:t>.202</w:t>
            </w:r>
            <w:r w:rsidR="00BA06E2" w:rsidRPr="00435A39">
              <w:rPr>
                <w:rFonts w:ascii="Verdana" w:hAnsi="Verdana"/>
                <w:color w:val="000000" w:themeColor="text1"/>
              </w:rPr>
              <w:t>1</w:t>
            </w:r>
            <w:r w:rsidRPr="00011811">
              <w:rPr>
                <w:rFonts w:ascii="Verdana" w:hAnsi="Verdana"/>
                <w:color w:val="000000" w:themeColor="text1"/>
              </w:rPr>
              <w:t xml:space="preserve"> г.</w:t>
            </w:r>
          </w:p>
          <w:p w14:paraId="64BD5D85" w14:textId="5ED6A1DB" w:rsidR="00B87B84" w:rsidRPr="00011811" w:rsidRDefault="00B87B84" w:rsidP="00011811">
            <w:pPr>
              <w:pStyle w:val="a5"/>
              <w:tabs>
                <w:tab w:val="left" w:pos="743"/>
              </w:tabs>
              <w:ind w:left="-108" w:right="179" w:firstLine="426"/>
              <w:jc w:val="both"/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</w:tr>
    </w:tbl>
    <w:p w14:paraId="4C190F91" w14:textId="0321E8BF" w:rsidR="00D3435B" w:rsidRDefault="00005863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 xml:space="preserve">1.3. </w:t>
      </w:r>
      <w:r w:rsidR="00D3435B"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D3435B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6EA9B9D" w14:textId="77777777" w:rsidR="00B87B84" w:rsidRPr="00011811" w:rsidRDefault="00B87B84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  <w:sz w:val="10"/>
          <w:szCs w:val="10"/>
        </w:rPr>
      </w:pPr>
    </w:p>
    <w:tbl>
      <w:tblPr>
        <w:tblStyle w:val="ac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04"/>
      </w:tblGrid>
      <w:tr w:rsidR="000E2F36" w:rsidRPr="008509DF" w14:paraId="7A48DE21" w14:textId="77777777" w:rsidTr="00011811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104" w:type="dxa"/>
          </w:tcPr>
          <w:p w14:paraId="17B79E84" w14:textId="4D57D047" w:rsidR="000E2F36" w:rsidRPr="008509DF" w:rsidRDefault="000E2F36" w:rsidP="00005863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011811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104" w:type="dxa"/>
          </w:tcPr>
          <w:p w14:paraId="3F4CEDED" w14:textId="33E68FFC" w:rsidR="0034333C" w:rsidRPr="008509DF" w:rsidRDefault="000E2F36" w:rsidP="00011811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01B17867" w14:textId="77777777" w:rsidR="006F77DF" w:rsidRDefault="006F77DF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0A8D7E93" w:rsidR="008C6495" w:rsidRPr="00E669EA" w:rsidRDefault="00AB5AEE" w:rsidP="00E669EA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 xml:space="preserve">1.5. </w:t>
            </w:r>
            <w:r w:rsidR="003C4F56" w:rsidRPr="003C4F56">
              <w:rPr>
                <w:rFonts w:ascii="Verdana" w:hAnsi="Verdana"/>
                <w:bCs/>
              </w:rPr>
              <w:t xml:space="preserve">На дату подписания Договора недвижимое имущество не отчуждено, не заложено, в споре и под арестом не состоит, не обременено правами третьих лиц, за исключением </w:t>
            </w:r>
            <w:r w:rsidR="003C4F56">
              <w:rPr>
                <w:rFonts w:ascii="Verdana" w:hAnsi="Verdana"/>
                <w:bCs/>
              </w:rPr>
              <w:t>о</w:t>
            </w:r>
            <w:r w:rsidR="003C4F56" w:rsidRPr="003C4F56">
              <w:rPr>
                <w:rFonts w:ascii="Verdana" w:hAnsi="Verdana"/>
                <w:bCs/>
              </w:rPr>
              <w:t>граничения прав на земельный участок, предусмотренные статьями 56, 56.1 Земельного кодекса Российской Федерации</w:t>
            </w:r>
            <w:r w:rsidR="003C4F56">
              <w:rPr>
                <w:rFonts w:ascii="Verdana" w:hAnsi="Verdana"/>
                <w:bCs/>
              </w:rPr>
              <w:t xml:space="preserve"> </w:t>
            </w:r>
            <w:r w:rsidR="003C4F56" w:rsidRPr="003C4F56">
              <w:rPr>
                <w:rFonts w:ascii="Verdana" w:hAnsi="Verdana"/>
                <w:bCs/>
              </w:rPr>
              <w:t>от 23.04.2020</w:t>
            </w:r>
            <w:r w:rsidR="003C4F56">
              <w:rPr>
                <w:rFonts w:ascii="Verdana" w:hAnsi="Verdana"/>
                <w:bCs/>
              </w:rPr>
              <w:t xml:space="preserve"> г., 16.08.2021</w:t>
            </w:r>
            <w:r w:rsidR="00987C8C">
              <w:rPr>
                <w:rFonts w:ascii="Verdana" w:hAnsi="Verdana"/>
                <w:bCs/>
              </w:rPr>
              <w:t xml:space="preserve"> г. </w:t>
            </w:r>
            <w:r w:rsidR="00FF2BCD" w:rsidRPr="00FF2BCD">
              <w:rPr>
                <w:rFonts w:ascii="Verdana" w:hAnsi="Verdana"/>
                <w:bCs/>
              </w:rPr>
              <w:t xml:space="preserve">В пределах </w:t>
            </w:r>
            <w:r w:rsidR="00987C8C">
              <w:rPr>
                <w:rFonts w:ascii="Verdana" w:hAnsi="Verdana"/>
                <w:bCs/>
              </w:rPr>
              <w:t>земельно</w:t>
            </w:r>
            <w:r w:rsidR="00FF2BCD">
              <w:rPr>
                <w:rFonts w:ascii="Verdana" w:hAnsi="Verdana"/>
                <w:bCs/>
              </w:rPr>
              <w:t>го</w:t>
            </w:r>
            <w:r w:rsidR="00987C8C">
              <w:rPr>
                <w:rFonts w:ascii="Verdana" w:hAnsi="Verdana"/>
                <w:bCs/>
              </w:rPr>
              <w:t xml:space="preserve"> участк</w:t>
            </w:r>
            <w:r w:rsidR="00FF2BCD">
              <w:rPr>
                <w:rFonts w:ascii="Verdana" w:hAnsi="Verdana"/>
                <w:bCs/>
              </w:rPr>
              <w:t>а</w:t>
            </w:r>
            <w:r w:rsidR="00987C8C">
              <w:rPr>
                <w:rFonts w:ascii="Verdana" w:hAnsi="Verdana"/>
                <w:bCs/>
              </w:rPr>
              <w:t xml:space="preserve"> с кадастровым номером </w:t>
            </w:r>
            <w:r w:rsidR="00987C8C" w:rsidRPr="00876A9F">
              <w:rPr>
                <w:rFonts w:ascii="Verdana" w:hAnsi="Verdana"/>
              </w:rPr>
              <w:t>38:36:000005:41</w:t>
            </w:r>
            <w:r w:rsidR="00987C8C">
              <w:rPr>
                <w:rFonts w:ascii="Verdana" w:hAnsi="Verdana"/>
              </w:rPr>
              <w:t xml:space="preserve"> размещено сооружение электроэнергетики – линия наружного освещения с кадастровым номером 38:36:000005:28870.</w:t>
            </w:r>
          </w:p>
        </w:tc>
      </w:tr>
    </w:tbl>
    <w:p w14:paraId="2196B618" w14:textId="77777777" w:rsidR="00875514" w:rsidRPr="00011811" w:rsidRDefault="00875514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sz w:val="10"/>
          <w:szCs w:val="10"/>
        </w:rPr>
      </w:pPr>
    </w:p>
    <w:p w14:paraId="46427ECD" w14:textId="1A7C7AD9" w:rsidR="00E0243A" w:rsidRDefault="00D22B24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373E89" w:rsidRPr="0005653D">
        <w:rPr>
          <w:rFonts w:ascii="Verdana" w:hAnsi="Verdana" w:cs="Times New Roman"/>
        </w:rPr>
        <w:t>6</w:t>
      </w:r>
      <w:r w:rsidRPr="0005653D">
        <w:rPr>
          <w:rFonts w:ascii="Verdana" w:hAnsi="Verdana" w:cs="Times New Roman"/>
        </w:rPr>
        <w:t xml:space="preserve">. </w:t>
      </w:r>
      <w:r w:rsidR="00005863" w:rsidRPr="00005863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643B62E" w14:textId="1FCDD0FE" w:rsidR="00CF1A05" w:rsidRDefault="00CF1A05" w:rsidP="00011811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11811">
        <w:rPr>
          <w:rFonts w:ascii="Verdana" w:hAnsi="Verdana"/>
          <w:b/>
        </w:rPr>
        <w:t>ЦЕНА И ПОРЯДОК РАСЧЕТОВ</w:t>
      </w:r>
    </w:p>
    <w:p w14:paraId="35D75A58" w14:textId="77777777" w:rsidR="00875514" w:rsidRPr="00011811" w:rsidRDefault="00875514" w:rsidP="00011811">
      <w:pPr>
        <w:pStyle w:val="a5"/>
        <w:widowControl w:val="0"/>
        <w:tabs>
          <w:tab w:val="left" w:pos="709"/>
        </w:tabs>
        <w:adjustRightInd w:val="0"/>
        <w:ind w:left="360"/>
        <w:rPr>
          <w:rFonts w:ascii="Verdana" w:hAnsi="Verdana"/>
          <w:b/>
        </w:rPr>
      </w:pPr>
    </w:p>
    <w:p w14:paraId="3CB7C6E0" w14:textId="6B55671A" w:rsidR="00773D72" w:rsidRDefault="007511DF" w:rsidP="00011811">
      <w:pPr>
        <w:pStyle w:val="a5"/>
        <w:widowControl w:val="0"/>
        <w:numPr>
          <w:ilvl w:val="1"/>
          <w:numId w:val="27"/>
        </w:numPr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1A05"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</w:t>
      </w:r>
      <w:proofErr w:type="gramStart"/>
      <w:r w:rsidR="00373E89" w:rsidRPr="00373E89">
        <w:rPr>
          <w:rFonts w:ascii="Verdana" w:hAnsi="Verdana"/>
          <w:i/>
        </w:rPr>
        <w:t>_(</w:t>
      </w:r>
      <w:proofErr w:type="gramEnd"/>
      <w:r w:rsidR="00373E89" w:rsidRPr="00373E89">
        <w:rPr>
          <w:rFonts w:ascii="Verdana" w:hAnsi="Verdana"/>
          <w:i/>
        </w:rPr>
        <w:t>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488772D7" w14:textId="77777777" w:rsidR="00083271" w:rsidRPr="00011811" w:rsidRDefault="00083271" w:rsidP="00011811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ind w:firstLine="709"/>
        <w:jc w:val="both"/>
        <w:rPr>
          <w:rFonts w:ascii="Verdana" w:hAnsi="Verdana"/>
          <w:sz w:val="10"/>
          <w:szCs w:val="10"/>
        </w:rPr>
      </w:pPr>
    </w:p>
    <w:p w14:paraId="5DA66908" w14:textId="254B42E4" w:rsidR="00773D72" w:rsidRPr="00773D72" w:rsidRDefault="00860063" w:rsidP="00011811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773D72">
        <w:rPr>
          <w:rFonts w:ascii="Verdana" w:hAnsi="Verdana"/>
        </w:rPr>
        <w:t>Стоимость нежилого</w:t>
      </w:r>
      <w:r w:rsidR="00773D72" w:rsidRPr="00773D72">
        <w:rPr>
          <w:rFonts w:ascii="Verdana" w:hAnsi="Verdana"/>
        </w:rPr>
        <w:t xml:space="preserve"> </w:t>
      </w:r>
      <w:r w:rsidR="00AA179F">
        <w:rPr>
          <w:rFonts w:ascii="Verdana" w:hAnsi="Verdana"/>
        </w:rPr>
        <w:t>здания</w:t>
      </w:r>
      <w:r w:rsidR="00773D72" w:rsidRPr="00773D72">
        <w:rPr>
          <w:rFonts w:ascii="Verdana" w:hAnsi="Verdana"/>
        </w:rPr>
        <w:t xml:space="preserve">, кадастровый номер </w:t>
      </w:r>
      <w:r w:rsidR="00E26431" w:rsidRPr="00E669EA">
        <w:rPr>
          <w:rFonts w:ascii="Verdana" w:hAnsi="Verdana"/>
        </w:rPr>
        <w:t>38</w:t>
      </w:r>
      <w:r w:rsidR="00875514" w:rsidRPr="00875514">
        <w:rPr>
          <w:rFonts w:ascii="Verdana" w:hAnsi="Verdana"/>
        </w:rPr>
        <w:t>:</w:t>
      </w:r>
      <w:r w:rsidR="00E26431" w:rsidRPr="00E669EA">
        <w:rPr>
          <w:rFonts w:ascii="Verdana" w:hAnsi="Verdana"/>
        </w:rPr>
        <w:t>3</w:t>
      </w:r>
      <w:r w:rsidR="00875514" w:rsidRPr="00875514">
        <w:rPr>
          <w:rFonts w:ascii="Verdana" w:hAnsi="Verdana"/>
        </w:rPr>
        <w:t>6:0000</w:t>
      </w:r>
      <w:r w:rsidR="00E26431" w:rsidRPr="00E669EA">
        <w:rPr>
          <w:rFonts w:ascii="Verdana" w:hAnsi="Verdana"/>
        </w:rPr>
        <w:t>05</w:t>
      </w:r>
      <w:r w:rsidR="00875514" w:rsidRPr="00875514">
        <w:rPr>
          <w:rFonts w:ascii="Verdana" w:hAnsi="Verdana"/>
        </w:rPr>
        <w:t>:</w:t>
      </w:r>
      <w:r w:rsidR="00E26431" w:rsidRPr="00E669EA">
        <w:rPr>
          <w:rFonts w:ascii="Verdana" w:hAnsi="Verdana"/>
        </w:rPr>
        <w:t>17706</w:t>
      </w:r>
      <w:r w:rsidR="00875514">
        <w:rPr>
          <w:rFonts w:ascii="Verdana" w:hAnsi="Verdana"/>
        </w:rPr>
        <w:t>,</w:t>
      </w:r>
      <w:r w:rsidR="00773D72" w:rsidRPr="00773D72">
        <w:rPr>
          <w:rFonts w:ascii="Verdana" w:hAnsi="Verdana"/>
        </w:rPr>
        <w:t xml:space="preserve"> площадью </w:t>
      </w:r>
      <w:r w:rsidR="00F46AE9" w:rsidRPr="00E669EA">
        <w:rPr>
          <w:rFonts w:ascii="Verdana" w:hAnsi="Verdana"/>
        </w:rPr>
        <w:t>2651</w:t>
      </w:r>
      <w:r w:rsidR="00875514">
        <w:rPr>
          <w:rFonts w:ascii="Verdana" w:hAnsi="Verdana"/>
        </w:rPr>
        <w:t>,</w:t>
      </w:r>
      <w:r w:rsidR="00F46AE9" w:rsidRPr="00E669EA">
        <w:rPr>
          <w:rFonts w:ascii="Verdana" w:hAnsi="Verdana"/>
        </w:rPr>
        <w:t>2</w:t>
      </w:r>
      <w:r w:rsidR="00A3380C">
        <w:rPr>
          <w:rFonts w:ascii="Verdana" w:hAnsi="Verdana"/>
        </w:rPr>
        <w:t xml:space="preserve"> </w:t>
      </w:r>
      <w:proofErr w:type="spellStart"/>
      <w:proofErr w:type="gramStart"/>
      <w:r w:rsidR="00773D72" w:rsidRPr="00773D72">
        <w:rPr>
          <w:rFonts w:ascii="Verdana" w:hAnsi="Verdana"/>
        </w:rPr>
        <w:t>кв.м</w:t>
      </w:r>
      <w:proofErr w:type="spellEnd"/>
      <w:proofErr w:type="gramEnd"/>
      <w:r w:rsidR="00773D72" w:rsidRPr="00773D72">
        <w:rPr>
          <w:rFonts w:ascii="Verdana" w:hAnsi="Verdana"/>
        </w:rPr>
        <w:t xml:space="preserve">, адрес (местонахождение): </w:t>
      </w:r>
      <w:r w:rsidR="00F46AE9" w:rsidRPr="00F46AE9">
        <w:rPr>
          <w:rFonts w:ascii="Verdana" w:hAnsi="Verdana"/>
        </w:rPr>
        <w:t>Иркутская область, г. Иркутск, ул. Розы Люксембург, д. 263-в</w:t>
      </w:r>
      <w:r w:rsidR="00F46AE9" w:rsidRPr="00F46AE9" w:rsidDel="00F46AE9">
        <w:rPr>
          <w:rFonts w:ascii="Verdana" w:hAnsi="Verdana"/>
        </w:rPr>
        <w:t xml:space="preserve"> </w:t>
      </w:r>
      <w:r w:rsidR="00DC223C">
        <w:rPr>
          <w:rFonts w:ascii="Verdana" w:hAnsi="Verdana"/>
        </w:rPr>
        <w:t xml:space="preserve">составляет </w:t>
      </w:r>
      <w:r w:rsidR="00773D72" w:rsidRPr="00373E89">
        <w:rPr>
          <w:rFonts w:ascii="Verdana" w:hAnsi="Verdana"/>
          <w:i/>
        </w:rPr>
        <w:t>______________________(__________________)</w:t>
      </w:r>
      <w:r w:rsidR="00773D72"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</w:t>
      </w:r>
      <w:r w:rsidR="00DC223C">
        <w:rPr>
          <w:rFonts w:ascii="Verdana" w:hAnsi="Verdana"/>
        </w:rPr>
        <w:t>НДС</w:t>
      </w:r>
      <w:r w:rsidR="00DC223C" w:rsidRPr="00DC223C">
        <w:t xml:space="preserve"> </w:t>
      </w:r>
      <w:r w:rsidR="00DC223C" w:rsidRPr="00DC223C">
        <w:rPr>
          <w:rFonts w:ascii="Verdana" w:hAnsi="Verdana"/>
        </w:rPr>
        <w:t>исчисленный в соответствии с действующим законодательством</w:t>
      </w:r>
      <w:r w:rsidR="00A3380C">
        <w:rPr>
          <w:rFonts w:ascii="Verdana" w:hAnsi="Verdana"/>
        </w:rPr>
        <w:t>);</w:t>
      </w:r>
    </w:p>
    <w:p w14:paraId="49B4DF2C" w14:textId="7C0ABA26" w:rsidR="007511DF" w:rsidRDefault="00A3380C" w:rsidP="007511DF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="00083271">
        <w:rPr>
          <w:rFonts w:ascii="Verdana" w:hAnsi="Verdana"/>
        </w:rPr>
        <w:t>земельного участка</w:t>
      </w:r>
      <w:r w:rsidRPr="00773D72">
        <w:rPr>
          <w:rFonts w:ascii="Verdana" w:hAnsi="Verdana"/>
        </w:rPr>
        <w:t xml:space="preserve">, кадастровый номер </w:t>
      </w:r>
      <w:r w:rsidR="006C256A" w:rsidRPr="006C256A">
        <w:rPr>
          <w:rFonts w:ascii="Verdana" w:hAnsi="Verdana"/>
        </w:rPr>
        <w:t>38:36:000005:41</w:t>
      </w:r>
      <w:r w:rsidRPr="00773D72">
        <w:rPr>
          <w:rFonts w:ascii="Verdana" w:hAnsi="Verdana"/>
        </w:rPr>
        <w:t>,</w:t>
      </w:r>
      <w:r w:rsidR="0010628D">
        <w:rPr>
          <w:rFonts w:ascii="Verdana" w:hAnsi="Verdana"/>
        </w:rPr>
        <w:t xml:space="preserve"> </w:t>
      </w:r>
      <w:r w:rsidR="0010628D" w:rsidRPr="00773D72">
        <w:rPr>
          <w:rFonts w:ascii="Verdana" w:hAnsi="Verdana"/>
        </w:rPr>
        <w:t>площадью</w:t>
      </w:r>
      <w:r w:rsidRPr="00773D72">
        <w:rPr>
          <w:rFonts w:ascii="Verdana" w:hAnsi="Verdana"/>
        </w:rPr>
        <w:t xml:space="preserve"> </w:t>
      </w:r>
      <w:r w:rsidR="006C256A" w:rsidRPr="006C256A">
        <w:rPr>
          <w:rFonts w:ascii="Verdana" w:hAnsi="Verdana"/>
        </w:rPr>
        <w:t>1469</w:t>
      </w:r>
      <w:r w:rsidR="00C13A7C">
        <w:rPr>
          <w:rFonts w:ascii="Verdana" w:hAnsi="Verdana"/>
          <w:color w:val="000000" w:themeColor="text1"/>
        </w:rPr>
        <w:t>,0</w:t>
      </w:r>
      <w:r w:rsidRPr="00A3380C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773D72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 xml:space="preserve">, адрес (местонахождение): </w:t>
      </w:r>
      <w:r w:rsidR="006C256A" w:rsidRPr="006C256A">
        <w:rPr>
          <w:rFonts w:ascii="Verdana" w:hAnsi="Verdana"/>
        </w:rPr>
        <w:t>установлено относительно ориентира, расположенного в границах участка. Почтовый адрес ориентира: Иркутская обл., в Ленинском районе г. Иркутска по ул. Розы Люксембург, 263-а</w:t>
      </w:r>
      <w:r w:rsidR="006C256A" w:rsidRPr="006C256A" w:rsidDel="006C25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</w:t>
      </w:r>
      <w:proofErr w:type="gramStart"/>
      <w:r w:rsidRPr="00373E89">
        <w:rPr>
          <w:rFonts w:ascii="Verdana" w:hAnsi="Verdana"/>
          <w:i/>
        </w:rPr>
        <w:t>_(</w:t>
      </w:r>
      <w:proofErr w:type="gramEnd"/>
      <w:r w:rsidRPr="00373E89">
        <w:rPr>
          <w:rFonts w:ascii="Verdana" w:hAnsi="Verdana"/>
          <w:i/>
        </w:rPr>
        <w:t>__________________)</w:t>
      </w:r>
      <w:r w:rsidRPr="00373E89">
        <w:rPr>
          <w:rFonts w:ascii="Verdana" w:hAnsi="Verdana"/>
        </w:rPr>
        <w:t xml:space="preserve"> рублей ___ копеек </w:t>
      </w:r>
      <w:r w:rsidR="007511DF" w:rsidRPr="007511DF">
        <w:rPr>
          <w:rFonts w:ascii="Verdana" w:hAnsi="Verdana"/>
        </w:rPr>
        <w:t>(НДС не облагается).</w:t>
      </w:r>
      <w:r w:rsidR="007511DF" w:rsidRPr="007511DF" w:rsidDel="007511DF">
        <w:rPr>
          <w:rFonts w:ascii="Verdana" w:hAnsi="Verdana"/>
        </w:rPr>
        <w:t xml:space="preserve"> </w:t>
      </w:r>
    </w:p>
    <w:p w14:paraId="4B7FABDB" w14:textId="77777777" w:rsidR="00A3380C" w:rsidRPr="00011811" w:rsidRDefault="00A3380C" w:rsidP="007511DF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  <w:sz w:val="10"/>
          <w:szCs w:val="10"/>
        </w:rPr>
      </w:pPr>
    </w:p>
    <w:p w14:paraId="1943DEEB" w14:textId="40A49A1F" w:rsidR="00B64B5C" w:rsidRPr="00011811" w:rsidRDefault="007511DF" w:rsidP="00011811">
      <w:pPr>
        <w:pStyle w:val="a5"/>
        <w:numPr>
          <w:ilvl w:val="1"/>
          <w:numId w:val="27"/>
        </w:numPr>
        <w:tabs>
          <w:tab w:val="left" w:pos="1134"/>
          <w:tab w:val="left" w:pos="1701"/>
        </w:tabs>
        <w:adjustRightInd w:val="0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64B5C" w:rsidRPr="00011811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3F86E198" w:rsidR="00DE0E51" w:rsidRPr="00011811" w:rsidRDefault="00DE0E51" w:rsidP="00C31E01">
      <w:pPr>
        <w:pStyle w:val="a5"/>
        <w:adjustRightInd w:val="0"/>
        <w:ind w:right="-1" w:firstLine="426"/>
        <w:jc w:val="both"/>
        <w:rPr>
          <w:rFonts w:ascii="Verdana" w:hAnsi="Verdana"/>
          <w:sz w:val="10"/>
          <w:szCs w:val="10"/>
          <w:highlight w:val="yellow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787"/>
        <w:gridCol w:w="76"/>
      </w:tblGrid>
      <w:tr w:rsidR="00C31E01" w:rsidRPr="008509DF" w14:paraId="2C3F5C5E" w14:textId="77777777" w:rsidTr="00011811">
        <w:trPr>
          <w:trHeight w:val="565"/>
        </w:trPr>
        <w:tc>
          <w:tcPr>
            <w:tcW w:w="2493" w:type="dxa"/>
            <w:shd w:val="clear" w:color="auto" w:fill="auto"/>
          </w:tcPr>
          <w:p w14:paraId="34C99ACF" w14:textId="77777777" w:rsidR="004058F5" w:rsidRPr="008509DF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3544D22A" w14:textId="5A215E14" w:rsidR="004058F5" w:rsidRPr="008509DF" w:rsidRDefault="004058F5" w:rsidP="00011811">
            <w:pPr>
              <w:adjustRightInd w:val="0"/>
              <w:spacing w:after="0"/>
              <w:ind w:right="3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</w:t>
            </w:r>
            <w:r w:rsidR="0077778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4058F5" w:rsidRPr="008076AD" w14:paraId="70998C20" w14:textId="77777777" w:rsidTr="00011811">
        <w:trPr>
          <w:gridAfter w:val="1"/>
          <w:wAfter w:w="76" w:type="dxa"/>
          <w:trHeight w:val="1463"/>
        </w:trPr>
        <w:tc>
          <w:tcPr>
            <w:tcW w:w="2493" w:type="dxa"/>
            <w:shd w:val="clear" w:color="auto" w:fill="auto"/>
          </w:tcPr>
          <w:p w14:paraId="15C74417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88BD3D7" w14:textId="3FA36D1A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 с использованием кредитных средств</w:t>
            </w:r>
            <w:r w:rsidR="00AA7E35" w:rsidRPr="001423C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959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74A9C66" w14:textId="77777777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5EBEDD" w14:textId="77777777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3A551D7" w14:textId="27247BE0" w:rsidR="004058F5" w:rsidRPr="00D22B24" w:rsidRDefault="00506D9A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ариант </w:t>
            </w:r>
            <w:r w:rsidR="004058F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EE7EA92" w14:textId="4C3B963B" w:rsidR="004058F5" w:rsidRPr="008076AD" w:rsidRDefault="004058F5" w:rsidP="0001181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 с использованием кредитных средств</w:t>
            </w:r>
          </w:p>
        </w:tc>
        <w:tc>
          <w:tcPr>
            <w:tcW w:w="6787" w:type="dxa"/>
            <w:shd w:val="clear" w:color="auto" w:fill="auto"/>
          </w:tcPr>
          <w:p w14:paraId="06139471" w14:textId="5772A2CC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>2.2.1. в течение 2 (двух) рабочих дней с даты подписания Договора Покупатель открывает аккредитив</w:t>
            </w:r>
            <w:r w:rsidR="00506D9A" w:rsidRPr="00B13DF5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="00506D9A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Pr="00611788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№___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законодательством/) </w:t>
            </w:r>
          </w:p>
          <w:p w14:paraId="3832615B" w14:textId="77777777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FCDC3A2" w14:textId="77777777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67DEFCEA" w14:textId="4FE3AC7E" w:rsidR="004058F5" w:rsidRPr="00373E89" w:rsidRDefault="00611788" w:rsidP="00E669EA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/ счет в </w:t>
            </w:r>
            <w:r w:rsidR="00506D9A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1788">
              <w:rPr>
                <w:rFonts w:ascii="Verdana" w:hAnsi="Verdana"/>
                <w:sz w:val="20"/>
                <w:szCs w:val="20"/>
              </w:rPr>
              <w:t>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Договору.</w:t>
            </w:r>
          </w:p>
        </w:tc>
      </w:tr>
    </w:tbl>
    <w:p w14:paraId="7E9358A7" w14:textId="77777777" w:rsidR="009D6025" w:rsidRPr="00011811" w:rsidRDefault="009D6025" w:rsidP="00C31E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850"/>
      </w:tblGrid>
      <w:tr w:rsidR="00C31E01" w:rsidRPr="008509DF" w14:paraId="5FDB42E2" w14:textId="77777777" w:rsidTr="00011811">
        <w:trPr>
          <w:trHeight w:val="1548"/>
        </w:trPr>
        <w:tc>
          <w:tcPr>
            <w:tcW w:w="2506" w:type="dxa"/>
            <w:shd w:val="clear" w:color="auto" w:fill="auto"/>
          </w:tcPr>
          <w:p w14:paraId="1E0B91C1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3CE35E6C" w14:textId="77777777" w:rsidR="004058F5" w:rsidRPr="008076AD" w:rsidRDefault="004058F5" w:rsidP="00C31E01">
            <w:pPr>
              <w:spacing w:after="0" w:line="240" w:lineRule="auto"/>
              <w:ind w:left="176"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6850" w:type="dxa"/>
            <w:shd w:val="clear" w:color="auto" w:fill="auto"/>
          </w:tcPr>
          <w:p w14:paraId="10F69C6A" w14:textId="46535C2D" w:rsidR="004058F5" w:rsidRPr="008509DF" w:rsidRDefault="004058F5" w:rsidP="00E669EA">
            <w:pPr>
              <w:pStyle w:val="a5"/>
              <w:numPr>
                <w:ilvl w:val="2"/>
                <w:numId w:val="22"/>
              </w:numPr>
              <w:ind w:left="31" w:right="-1" w:firstLine="83"/>
              <w:jc w:val="both"/>
              <w:rPr>
                <w:rFonts w:ascii="Verdana" w:hAnsi="Verdana"/>
                <w:color w:val="000000" w:themeColor="text1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D60EE9">
              <w:rPr>
                <w:rFonts w:ascii="Verdana" w:hAnsi="Verdana"/>
                <w:i/>
                <w:color w:val="0070C0"/>
              </w:rPr>
              <w:t>4 536 600</w:t>
            </w:r>
            <w:r w:rsidR="008B65F0">
              <w:rPr>
                <w:rFonts w:ascii="Verdana" w:hAnsi="Verdana"/>
                <w:i/>
                <w:color w:val="0070C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</w:rPr>
              <w:t>(</w:t>
            </w:r>
            <w:r w:rsidR="00D60EE9">
              <w:rPr>
                <w:rFonts w:ascii="Verdana" w:hAnsi="Verdana"/>
                <w:i/>
                <w:color w:val="0070C0"/>
              </w:rPr>
              <w:t>Четыре миллиона пятьсот тридцать шесть тысяч шестьсот</w:t>
            </w:r>
            <w:r w:rsidRPr="008076AD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8B65F0" w:rsidRPr="00011811">
              <w:rPr>
                <w:rFonts w:ascii="Verdana" w:hAnsi="Verdana"/>
                <w:i/>
                <w:color w:val="0070C0"/>
              </w:rPr>
              <w:t>00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Pr="000E254A">
              <w:rPr>
                <w:rFonts w:ascii="Verdana" w:hAnsi="Verdana"/>
                <w:i/>
                <w:color w:val="0070C0"/>
              </w:rPr>
              <w:t>),</w:t>
            </w:r>
            <w:r w:rsidRPr="000E254A">
              <w:rPr>
                <w:rFonts w:ascii="Verdana" w:hAnsi="Verdana"/>
                <w:color w:val="0070C0"/>
              </w:rPr>
              <w:t xml:space="preserve"> </w:t>
            </w:r>
            <w:r w:rsidRPr="000E254A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</w:tc>
      </w:tr>
    </w:tbl>
    <w:p w14:paraId="04D9CB02" w14:textId="77777777" w:rsidR="004058F5" w:rsidRPr="00011811" w:rsidRDefault="004058F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6E3AD3A3" w14:textId="77777777" w:rsidR="00C31E01" w:rsidRPr="00011811" w:rsidRDefault="00C31E01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20422" w14:textId="4E8F65A2" w:rsidR="00CF1A05" w:rsidRPr="008509DF" w:rsidRDefault="003D002A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9498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672"/>
      </w:tblGrid>
      <w:tr w:rsidR="000A1317" w:rsidRPr="008509DF" w14:paraId="6DD0C0DF" w14:textId="77777777" w:rsidTr="00011811">
        <w:trPr>
          <w:trHeight w:val="996"/>
        </w:trPr>
        <w:tc>
          <w:tcPr>
            <w:tcW w:w="2826" w:type="dxa"/>
            <w:shd w:val="clear" w:color="auto" w:fill="auto"/>
          </w:tcPr>
          <w:p w14:paraId="44B69CD0" w14:textId="761B49A4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3C22C22C" w14:textId="2AE106ED" w:rsidR="00167E08" w:rsidRDefault="00764972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64972"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auto"/>
          </w:tcPr>
          <w:p w14:paraId="7799AF28" w14:textId="028FA186" w:rsidR="001B1B44" w:rsidRDefault="00803BB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3B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7DF5677B" w:rsidR="000A1317" w:rsidRPr="00D729C2" w:rsidRDefault="00803BB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3BB6">
              <w:rPr>
                <w:rFonts w:ascii="Verdana" w:hAnsi="Verdana"/>
              </w:rPr>
              <w:t>2.6.1.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 (совместно подать заявления о погашении залога в силу закона), в течение 10 (десяти) рабочих дней с момента исполнения Покупателем обязательств по оплате цены недвижимого имущества в полном объеме и поступления на расчетный счет Продавца денежных средств по Договору в полном объеме.</w:t>
            </w:r>
          </w:p>
        </w:tc>
      </w:tr>
      <w:tr w:rsidR="00AA7E35" w:rsidRPr="008509DF" w14:paraId="5EBFA9B6" w14:textId="77777777" w:rsidTr="00011811">
        <w:trPr>
          <w:trHeight w:val="1469"/>
        </w:trPr>
        <w:tc>
          <w:tcPr>
            <w:tcW w:w="2826" w:type="dxa"/>
            <w:shd w:val="clear" w:color="auto" w:fill="auto"/>
          </w:tcPr>
          <w:p w14:paraId="1636A257" w14:textId="77777777" w:rsidR="00AA7E35" w:rsidRPr="008509DF" w:rsidRDefault="00AA7E35" w:rsidP="00AA7E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1184B984" w:rsidR="00AA7E35" w:rsidRPr="008509DF" w:rsidRDefault="00AA7E35" w:rsidP="00E669EA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</w:t>
            </w:r>
            <w:r w:rsidR="001D7E81">
              <w:rPr>
                <w:rFonts w:ascii="Verdana" w:hAnsi="Verdana"/>
                <w:i/>
                <w:color w:val="FF0000"/>
              </w:rPr>
              <w:t xml:space="preserve">полной предварительной оплаты, а </w:t>
            </w:r>
            <w:proofErr w:type="spellStart"/>
            <w:r w:rsidR="001D7E81">
              <w:rPr>
                <w:rFonts w:ascii="Verdana" w:hAnsi="Verdana"/>
                <w:i/>
                <w:color w:val="FF0000"/>
              </w:rPr>
              <w:t>аткже</w:t>
            </w:r>
            <w:proofErr w:type="spellEnd"/>
            <w:r w:rsidR="001D7E81">
              <w:rPr>
                <w:rFonts w:ascii="Verdana" w:hAnsi="Verdana"/>
                <w:i/>
                <w:color w:val="FF0000"/>
              </w:rPr>
              <w:t xml:space="preserve"> в случае </w:t>
            </w:r>
            <w:r w:rsidR="00640CE7">
              <w:rPr>
                <w:rFonts w:ascii="Verdana" w:hAnsi="Verdana"/>
                <w:i/>
                <w:color w:val="FF0000"/>
              </w:rPr>
              <w:t>оплаты  с использованием кредитных средств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73249D9E" w14:textId="12E0C1FC" w:rsidR="00AA7E35" w:rsidRPr="00672CCD" w:rsidRDefault="00AA7E35" w:rsidP="00AA7E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F8CB384" w14:textId="77777777" w:rsidR="000F65EF" w:rsidRPr="00011811" w:rsidRDefault="000F65E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6682A3C5" w14:textId="239A3FC2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633C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1B57023B" w14:textId="2450B2A4" w:rsidR="00A3380C" w:rsidRDefault="00A3380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67966407" w14:textId="498EABC7" w:rsidR="00167E08" w:rsidRDefault="00A24C91" w:rsidP="00A3380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0160D793" w14:textId="77777777" w:rsidR="000F65EF" w:rsidRPr="00A3380C" w:rsidRDefault="000F65EF" w:rsidP="00011811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tbl>
      <w:tblPr>
        <w:tblW w:w="9734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724"/>
      </w:tblGrid>
      <w:tr w:rsidR="00167E08" w:rsidRPr="00672CCD" w14:paraId="1723C89A" w14:textId="77777777" w:rsidTr="00011811">
        <w:trPr>
          <w:trHeight w:val="2998"/>
        </w:trPr>
        <w:tc>
          <w:tcPr>
            <w:tcW w:w="3010" w:type="dxa"/>
            <w:shd w:val="clear" w:color="auto" w:fill="auto"/>
          </w:tcPr>
          <w:p w14:paraId="52CFED0A" w14:textId="6A0A7873" w:rsidR="001C25D8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0F65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            </w:t>
            </w:r>
            <w:r w:rsidR="00C31E0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   </w:t>
            </w:r>
            <w:r w:rsidR="000F65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прямых расчетах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D4681C8" w14:textId="2B2E8B0A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3398BC00" w14:textId="2B5C1888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725DBDF" w14:textId="1332B00C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1A987622" w14:textId="4FDA8FF4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ED155D7" w14:textId="2AA0851A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6B1EFCF3" w14:textId="51AB2FC9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2F552423" w14:textId="65FFA986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1C177756" w14:textId="7CCA9F27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4488785" w14:textId="73D611D3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7676C050" w14:textId="77214691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529D3218" w14:textId="77777777" w:rsidR="00F83381" w:rsidRPr="0001181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8"/>
                <w:szCs w:val="8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95CCE1A" w14:textId="33EEF029" w:rsidR="00167E08" w:rsidRPr="008509DF" w:rsidRDefault="00167E08" w:rsidP="0001181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>ООО «ЦНС»:</w:t>
            </w:r>
          </w:p>
        </w:tc>
        <w:tc>
          <w:tcPr>
            <w:tcW w:w="6724" w:type="dxa"/>
            <w:shd w:val="clear" w:color="auto" w:fill="auto"/>
          </w:tcPr>
          <w:p w14:paraId="1D89273E" w14:textId="043D6E06" w:rsidR="00D45A65" w:rsidRDefault="00D45A65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r w:rsidR="001C25D8" w:rsidRPr="00A82F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объеме;</w:t>
            </w:r>
            <w:r w:rsidR="001C25D8">
              <w:rPr>
                <w:sz w:val="20"/>
                <w:szCs w:val="20"/>
              </w:rPr>
              <w:t xml:space="preserve"> </w:t>
            </w:r>
          </w:p>
          <w:p w14:paraId="00B08C53" w14:textId="77777777" w:rsidR="00F83381" w:rsidRPr="00011811" w:rsidRDefault="00F83381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</w:p>
          <w:p w14:paraId="2683536A" w14:textId="6C3B6D4F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="00633CF9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  <w:r w:rsidR="000F65EF" w:rsidRPr="00167E08" w:rsidDel="000F65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465EE05" w14:textId="35EB1048" w:rsidR="00764972" w:rsidRPr="00011811" w:rsidRDefault="00764972" w:rsidP="00011811">
      <w:pPr>
        <w:widowControl w:val="0"/>
        <w:shd w:val="clear" w:color="auto" w:fill="FFFFFF"/>
        <w:tabs>
          <w:tab w:val="left" w:pos="709"/>
          <w:tab w:val="left" w:pos="31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14:paraId="5D1E3E5C" w14:textId="773E1985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797"/>
      </w:tblGrid>
      <w:tr w:rsidR="00211F7A" w:rsidRPr="008509DF" w14:paraId="70C76F10" w14:textId="77777777" w:rsidTr="00011811">
        <w:trPr>
          <w:trHeight w:val="1461"/>
        </w:trPr>
        <w:tc>
          <w:tcPr>
            <w:tcW w:w="3019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797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67B74B" w14:textId="77777777" w:rsidR="00C31E01" w:rsidRPr="00011811" w:rsidRDefault="00C31E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E23E6" w14:textId="29A1347F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01181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51"/>
        <w:gridCol w:w="153"/>
      </w:tblGrid>
      <w:tr w:rsidR="00F54327" w:rsidRPr="008509DF" w14:paraId="4DED3D2A" w14:textId="77777777" w:rsidTr="00011811">
        <w:trPr>
          <w:gridAfter w:val="1"/>
          <w:wAfter w:w="153" w:type="dxa"/>
        </w:trPr>
        <w:tc>
          <w:tcPr>
            <w:tcW w:w="3120" w:type="dxa"/>
          </w:tcPr>
          <w:p w14:paraId="31837F38" w14:textId="7344015A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651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011811">
        <w:tc>
          <w:tcPr>
            <w:tcW w:w="3120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6804" w:type="dxa"/>
            <w:gridSpan w:val="2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011811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8978D9E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935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41"/>
      </w:tblGrid>
      <w:tr w:rsidR="00C42EB6" w:rsidRPr="00A94BE8" w14:paraId="3D5DA7C0" w14:textId="77777777" w:rsidTr="00011811">
        <w:tc>
          <w:tcPr>
            <w:tcW w:w="1915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441" w:type="dxa"/>
          </w:tcPr>
          <w:p w14:paraId="0BCC72D2" w14:textId="6444C311" w:rsidR="00C42EB6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011811">
        <w:tc>
          <w:tcPr>
            <w:tcW w:w="1915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441" w:type="dxa"/>
          </w:tcPr>
          <w:p w14:paraId="1D3C2781" w14:textId="54839397" w:rsidR="00167E08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011811">
        <w:tc>
          <w:tcPr>
            <w:tcW w:w="1915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441" w:type="dxa"/>
          </w:tcPr>
          <w:p w14:paraId="123D5E10" w14:textId="61100830" w:rsidR="00167E08" w:rsidRPr="008076AD" w:rsidRDefault="00F83381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51FC579" w14:textId="4DCA8DA5" w:rsidR="00CE777E" w:rsidRPr="00011811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4A4C3579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011811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214" w:type="dxa"/>
        <w:tblInd w:w="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053"/>
      </w:tblGrid>
      <w:tr w:rsidR="00046C89" w:rsidRPr="0055668A" w14:paraId="49EEA15A" w14:textId="77777777" w:rsidTr="00011811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053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D4BE2" w14:textId="707E422A" w:rsidR="00C42EB6" w:rsidRPr="00C42EB6" w:rsidRDefault="00F83381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9.2.1. 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 номинальный счет/не размещены денежные средства на номинальном счете ООО «ЦНС» в установленные Договором сроки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011811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45B2D308" w14:textId="36BD3FC4" w:rsidR="004816A7" w:rsidRDefault="00E30683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ECC4F02" w14:textId="18ABD69A" w:rsidR="00A30CA0" w:rsidRPr="00C76935" w:rsidRDefault="0055668A" w:rsidP="000118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1A2B2ED" w:rsidR="00A30CA0" w:rsidRDefault="00C76935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49B70517" w14:textId="77777777" w:rsidR="00C77CB8" w:rsidRPr="00011811" w:rsidRDefault="00C77CB8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07F45BF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7941D7" w14:textId="29787D73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715C74" w14:textId="223190C2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8B1DAB" w14:textId="3B862816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BCAA29" w14:textId="2777AFBE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9DC652" w14:textId="5BC06A56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BC49B8" w14:textId="291057B6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301B196" w14:textId="2B04F206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C59BEE" w14:textId="2B617339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8E172A" w14:textId="428EE75C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4E9560" w14:textId="26C76DBE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BC9CD97" w14:textId="06E3F05B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1888110" w14:textId="677190BC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ACA5983" w14:textId="55F996C1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31955A2" w14:textId="51C0AC0A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794ED26" w14:textId="22078A89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5A6976" w14:textId="7F2DE532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BEA780" w14:textId="0FF792BC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C4E953" w14:textId="37DD671C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3C97729" w14:textId="664133EE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E721F27" w14:textId="002E8B25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9CC8A3" w14:textId="7C6B48FA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DB9D73" w14:textId="22A19C33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F21982" w14:textId="12CBE2BA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C5A375" w14:textId="56F904FF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419C9B" w14:textId="7CEB2B38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E60AD0" w14:textId="606DCCB2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52B36F" w14:textId="24926647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6A88C9" w14:textId="4B59BF97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17D7E3" w14:textId="66BE5650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0215F4" w14:textId="77777777" w:rsidR="00D60EE9" w:rsidRDefault="00D60EE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393D2C" w14:textId="6590D5C1" w:rsidR="006F77DF" w:rsidRDefault="006F77DF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652DB3" w14:textId="09FE9DC2" w:rsidR="006F77DF" w:rsidRDefault="006F77DF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34D0B84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3ABA69" w14:textId="77777777" w:rsidR="00C77CB8" w:rsidRDefault="00C77CB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339E59" w14:textId="77777777" w:rsidR="002D5586" w:rsidRPr="002D5586" w:rsidRDefault="002D5586" w:rsidP="002D55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D5586">
        <w:rPr>
          <w:rFonts w:ascii="Verdana" w:hAnsi="Verdana"/>
          <w:sz w:val="20"/>
          <w:szCs w:val="20"/>
        </w:rPr>
        <w:t>Приложение №1</w:t>
      </w:r>
    </w:p>
    <w:p w14:paraId="184E97AC" w14:textId="77777777" w:rsidR="002D5586" w:rsidRPr="002D5586" w:rsidRDefault="002D5586" w:rsidP="002D558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A1D6513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</w:t>
      </w:r>
      <w:proofErr w:type="gramStart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_»_</w:t>
      </w:r>
      <w:proofErr w:type="gramEnd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____________ 20__</w:t>
      </w:r>
    </w:p>
    <w:p w14:paraId="74BB373B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sz w:val="20"/>
          <w:szCs w:val="20"/>
          <w:lang w:eastAsia="en-CA"/>
        </w:rPr>
      </w:pPr>
    </w:p>
    <w:p w14:paraId="4D42CE84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F97001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A4A85DD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7FE75A2" w14:textId="77777777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3958E" w14:textId="77777777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76BD29EC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FE2B8F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D5586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D558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2D5586" w:rsidRPr="002D5586" w14:paraId="76B4F95C" w14:textId="77777777" w:rsidTr="00DE6957">
        <w:tc>
          <w:tcPr>
            <w:tcW w:w="1701" w:type="dxa"/>
            <w:shd w:val="clear" w:color="auto" w:fill="auto"/>
          </w:tcPr>
          <w:p w14:paraId="1ED9EB49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6984B4EA" w14:textId="77777777" w:rsidTr="00DE6957">
              <w:tc>
                <w:tcPr>
                  <w:tcW w:w="6969" w:type="dxa"/>
                </w:tcPr>
                <w:p w14:paraId="29241D4C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380779C1" w14:textId="77777777" w:rsidTr="00DE6957">
              <w:tc>
                <w:tcPr>
                  <w:tcW w:w="6969" w:type="dxa"/>
                </w:tcPr>
                <w:p w14:paraId="231D59B7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11D6A467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26DBB3D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D5586" w:rsidRPr="002D5586" w14:paraId="4644DC78" w14:textId="77777777" w:rsidTr="00DE6957">
        <w:tc>
          <w:tcPr>
            <w:tcW w:w="1701" w:type="dxa"/>
            <w:shd w:val="clear" w:color="auto" w:fill="auto"/>
          </w:tcPr>
          <w:p w14:paraId="17CF3556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78106DED" w14:textId="77777777" w:rsidTr="00DE6957">
              <w:tc>
                <w:tcPr>
                  <w:tcW w:w="6969" w:type="dxa"/>
                </w:tcPr>
                <w:p w14:paraId="033DE1E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641CE4C5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2956057A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3815666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D558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3DC520F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D5586" w:rsidRPr="002D5586" w14:paraId="1A7A035A" w14:textId="77777777" w:rsidTr="00DE6957">
        <w:tc>
          <w:tcPr>
            <w:tcW w:w="1701" w:type="dxa"/>
            <w:shd w:val="clear" w:color="auto" w:fill="auto"/>
          </w:tcPr>
          <w:p w14:paraId="5ACACB52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D558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28F4F998" w14:textId="77777777" w:rsidTr="00DE6957">
              <w:tc>
                <w:tcPr>
                  <w:tcW w:w="6969" w:type="dxa"/>
                </w:tcPr>
                <w:p w14:paraId="30E6FFED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0BFEF008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9181588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E4B0C6A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D5586">
              <w:rPr>
                <w:rFonts w:ascii="Verdana" w:hAnsi="Verdana"/>
                <w:sz w:val="20"/>
                <w:szCs w:val="20"/>
              </w:rPr>
              <w:t>ОГРНИП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D5586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10D8765D" w14:textId="77777777" w:rsidTr="00DE6957">
              <w:tc>
                <w:tcPr>
                  <w:tcW w:w="6969" w:type="dxa"/>
                </w:tcPr>
                <w:p w14:paraId="3028307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7D531EA0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B41908C" w14:textId="752E0252" w:rsidR="00DE6957" w:rsidRPr="002D5586" w:rsidRDefault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8CAE32C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930E88" w14:textId="77777777" w:rsidR="00947A1A" w:rsidRPr="00011811" w:rsidRDefault="00947A1A" w:rsidP="002D5586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5DF4A9E" w14:textId="466486C5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23E6EB4" w14:textId="38D0D122" w:rsidR="002D5586" w:rsidRPr="0061345C" w:rsidRDefault="002D5586" w:rsidP="00011811">
      <w:pPr>
        <w:pStyle w:val="a5"/>
        <w:widowControl w:val="0"/>
        <w:numPr>
          <w:ilvl w:val="0"/>
          <w:numId w:val="37"/>
        </w:numPr>
        <w:tabs>
          <w:tab w:val="left" w:pos="426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61345C">
        <w:rPr>
          <w:rFonts w:ascii="Verdana" w:hAnsi="Verdana"/>
        </w:rPr>
        <w:t>В соответствии с Договором купли-продажи недвижимого имущества от «____»</w:t>
      </w:r>
      <w:r w:rsidR="0061345C">
        <w:rPr>
          <w:rFonts w:ascii="Verdana" w:hAnsi="Verdana"/>
        </w:rPr>
        <w:t xml:space="preserve"> </w:t>
      </w:r>
      <w:r w:rsidRPr="0061345C">
        <w:rPr>
          <w:rFonts w:ascii="Verdana" w:hAnsi="Verdana"/>
        </w:rPr>
        <w:t xml:space="preserve">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24BD594" w14:textId="5B51B320" w:rsidR="00E669EA" w:rsidRPr="00E669EA" w:rsidRDefault="00E669EA" w:rsidP="00E669EA">
      <w:pPr>
        <w:widowControl w:val="0"/>
        <w:tabs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669EA">
        <w:rPr>
          <w:rFonts w:ascii="Verdana" w:hAnsi="Verdana"/>
          <w:color w:val="000000" w:themeColor="text1"/>
          <w:sz w:val="20"/>
          <w:szCs w:val="20"/>
        </w:rPr>
        <w:t>1.</w:t>
      </w:r>
      <w:r>
        <w:rPr>
          <w:rFonts w:ascii="Verdana" w:hAnsi="Verdana"/>
          <w:color w:val="000000" w:themeColor="text1"/>
          <w:sz w:val="20"/>
          <w:szCs w:val="20"/>
        </w:rPr>
        <w:t>2</w:t>
      </w:r>
      <w:r w:rsidRPr="00E669EA">
        <w:rPr>
          <w:rFonts w:ascii="Verdana" w:hAnsi="Verdana"/>
          <w:color w:val="000000" w:themeColor="text1"/>
          <w:sz w:val="20"/>
          <w:szCs w:val="20"/>
        </w:rPr>
        <w:t xml:space="preserve">. Нежилое здание, общей площадью 2651,2 кв. м, расположенное по адресу: Иркутская область, г. Иркутск, ул. Розы Люксембург, д. 263-в, кадастровый номер: 38:36:000005:17706. </w:t>
      </w:r>
    </w:p>
    <w:p w14:paraId="03CAC083" w14:textId="67B52870" w:rsidR="00C55C42" w:rsidRPr="00E669EA" w:rsidRDefault="00E669EA" w:rsidP="00E669E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E669EA">
        <w:rPr>
          <w:rFonts w:ascii="Verdana" w:hAnsi="Verdana"/>
          <w:color w:val="000000" w:themeColor="text1"/>
          <w:sz w:val="20"/>
          <w:szCs w:val="20"/>
        </w:rPr>
        <w:t>1.</w:t>
      </w:r>
      <w:r>
        <w:rPr>
          <w:rFonts w:ascii="Verdana" w:hAnsi="Verdana"/>
          <w:color w:val="000000" w:themeColor="text1"/>
          <w:sz w:val="20"/>
          <w:szCs w:val="20"/>
        </w:rPr>
        <w:t>3</w:t>
      </w:r>
      <w:r w:rsidRPr="00E669EA">
        <w:rPr>
          <w:rFonts w:ascii="Verdana" w:hAnsi="Verdana"/>
          <w:color w:val="000000" w:themeColor="text1"/>
          <w:sz w:val="20"/>
          <w:szCs w:val="20"/>
        </w:rPr>
        <w:t xml:space="preserve">.  Земельный участок, общей площадью 1469,0 кв. м. расположенный по адресу: установлено относительно ориентира, расположенного в границах участка. Почтовый адрес ориентира: Иркутская обл., в Ленинском районе г. Иркутска по ул. Розы Люксембург, 263-а, кадастровый номер: 38:36:000005:41; категория земель: земли населенных пунктов; вид разрешенного использования: для размещения объектов </w:t>
      </w:r>
      <w:proofErr w:type="gramStart"/>
      <w:r w:rsidRPr="00E669EA">
        <w:rPr>
          <w:rFonts w:ascii="Verdana" w:hAnsi="Verdana"/>
          <w:color w:val="000000" w:themeColor="text1"/>
          <w:sz w:val="20"/>
          <w:szCs w:val="20"/>
        </w:rPr>
        <w:t>торговли</w:t>
      </w:r>
      <w:r w:rsidRPr="00E669EA" w:rsidDel="00E669E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55C42" w:rsidRPr="00E669EA">
        <w:rPr>
          <w:rFonts w:ascii="Verdana" w:hAnsi="Verdana" w:cs="Arial"/>
          <w:sz w:val="20"/>
          <w:szCs w:val="20"/>
        </w:rPr>
        <w:t>.</w:t>
      </w:r>
      <w:proofErr w:type="gramEnd"/>
    </w:p>
    <w:p w14:paraId="5DA9B076" w14:textId="77777777" w:rsidR="002D5586" w:rsidRPr="002D5586" w:rsidRDefault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45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</w:r>
    </w:p>
    <w:p w14:paraId="51E39853" w14:textId="7F15E2D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5ABC91E" w14:textId="77777777" w:rsidR="00DE6957" w:rsidRPr="00011811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2D5586" w:rsidRPr="002D5586" w14:paraId="6B82537D" w14:textId="77777777" w:rsidTr="00DE6957">
        <w:tc>
          <w:tcPr>
            <w:tcW w:w="3004" w:type="dxa"/>
            <w:shd w:val="clear" w:color="auto" w:fill="auto"/>
          </w:tcPr>
          <w:p w14:paraId="235792DA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71A981D8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(кроме земельного участка) при наличии приборов учета и ключей </w:t>
            </w:r>
          </w:p>
        </w:tc>
        <w:tc>
          <w:tcPr>
            <w:tcW w:w="6460" w:type="dxa"/>
            <w:shd w:val="clear" w:color="auto" w:fill="auto"/>
          </w:tcPr>
          <w:p w14:paraId="0EE734B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56DDB35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235AAD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FE776E3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DC89D3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443E3AD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приема-передачи Продавец передал Покупателю комплекты ключей от недвижимого имущества в количестве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C9D521" w14:textId="77777777" w:rsidR="002D5586" w:rsidRPr="00011811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37020A10" w14:textId="5BB2A88F" w:rsidR="002D5586" w:rsidRPr="00E63B17" w:rsidRDefault="009F67D8" w:rsidP="00E63B17">
      <w:pPr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2D5586" w:rsidRPr="00E63B17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8A2A8BA" w14:textId="77777777" w:rsidR="009F67D8" w:rsidRPr="00E63B17" w:rsidRDefault="009F67D8" w:rsidP="00E63B17">
      <w:pPr>
        <w:pStyle w:val="a5"/>
        <w:numPr>
          <w:ilvl w:val="0"/>
          <w:numId w:val="22"/>
        </w:numPr>
        <w:adjustRightInd w:val="0"/>
        <w:jc w:val="both"/>
        <w:rPr>
          <w:rFonts w:ascii="Verdana" w:hAnsi="Verdana"/>
        </w:rPr>
      </w:pPr>
    </w:p>
    <w:p w14:paraId="6448CEB2" w14:textId="77777777" w:rsidR="002D5586" w:rsidRPr="00011811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521"/>
      </w:tblGrid>
      <w:tr w:rsidR="002D5586" w:rsidRPr="002D5586" w14:paraId="6A8E0EEE" w14:textId="77777777" w:rsidTr="00011811">
        <w:tc>
          <w:tcPr>
            <w:tcW w:w="3295" w:type="dxa"/>
            <w:shd w:val="clear" w:color="auto" w:fill="auto"/>
          </w:tcPr>
          <w:p w14:paraId="582E6D10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81AD5F5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6521" w:type="dxa"/>
            <w:shd w:val="clear" w:color="auto" w:fill="auto"/>
          </w:tcPr>
          <w:p w14:paraId="088ED500" w14:textId="77777777" w:rsidR="002D5586" w:rsidRPr="002D5586" w:rsidRDefault="002D5586" w:rsidP="002D5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D5586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D5586" w:rsidRPr="002D5586" w14:paraId="1A51DAFF" w14:textId="77777777" w:rsidTr="00011811">
        <w:tc>
          <w:tcPr>
            <w:tcW w:w="3295" w:type="dxa"/>
            <w:tcBorders>
              <w:bottom w:val="nil"/>
            </w:tcBorders>
            <w:shd w:val="clear" w:color="auto" w:fill="auto"/>
          </w:tcPr>
          <w:p w14:paraId="66DFA78F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2D2C16C1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14:paraId="0F71C2FB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11093582" w14:textId="0C0DF98F" w:rsidR="002D5586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2B8A4A" w14:textId="77777777" w:rsidR="00DE6957" w:rsidRPr="002D5586" w:rsidRDefault="00DE6957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5680CA" w14:textId="289E3A3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92BAAAA" w14:textId="209EDF2D" w:rsidR="00DE6957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9E4726E" w14:textId="77777777" w:rsidR="00DE6957" w:rsidRPr="002D5586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6978093" w14:textId="4FF477DB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ОТ ПОКУПАТЕЛЯ:</w:t>
      </w:r>
    </w:p>
    <w:p w14:paraId="2D2C7446" w14:textId="4166D3A5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_____________/_____________/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9E11DB2" w14:textId="32F324B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D3C91C" w14:textId="5FC102A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EBADA" w14:textId="6AF35C5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2B6EA6" w14:textId="1D75C1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8222D6" w14:textId="7C3C6F4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86A714" w14:textId="22B6A794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478CEA" w14:textId="7F5FCE09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702223" w14:textId="198D83A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0040BC" w14:textId="51A8AC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E3A4AE" w14:textId="72E2795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56BC73" w14:textId="0C941C5A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10567A" w14:textId="0D80AE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ABA50E" w14:textId="420A0DE2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3670E" w14:textId="3F600B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9E7B63" w14:textId="4466A16D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4BA3AC" w14:textId="7558F5B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D68926" w14:textId="3809F6C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4CE770" w14:textId="1BD4962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913B9F" w14:textId="356CFD8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47127D" w14:textId="48DE4543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485A6B" w14:textId="03AD16D0" w:rsidR="000A068D" w:rsidRPr="002D5586" w:rsidRDefault="000A068D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D5586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3AC1A139" w14:textId="77777777" w:rsidR="000A068D" w:rsidRPr="002D5586" w:rsidRDefault="000A068D" w:rsidP="000A068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152E631" w14:textId="77777777" w:rsidR="000A068D" w:rsidRPr="002D5586" w:rsidRDefault="000A068D" w:rsidP="000A068D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</w:t>
      </w:r>
      <w:proofErr w:type="gramStart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_»_</w:t>
      </w:r>
      <w:proofErr w:type="gramEnd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____________ 20__</w:t>
      </w:r>
    </w:p>
    <w:p w14:paraId="3DE7B692" w14:textId="48024BC3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21646A" w14:textId="6076EE1E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99CF69" w14:textId="14C304C5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1345C">
      <w:pPr>
        <w:pStyle w:val="a5"/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399E74B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r w:rsidR="0010628D" w:rsidRPr="000C2791">
        <w:rPr>
          <w:rFonts w:ascii="Verdana" w:eastAsia="Calibri" w:hAnsi="Verdana" w:cs="Arial"/>
        </w:rPr>
        <w:t>исполняющий</w:t>
      </w:r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118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57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11811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11811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2B047D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7ECC8522" w:rsidR="00FC6345" w:rsidRPr="008509DF" w:rsidRDefault="00FC6345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Возможна запись о залоге кредитора.</w:t>
            </w:r>
          </w:p>
        </w:tc>
      </w:tr>
    </w:tbl>
    <w:p w14:paraId="282F3AAA" w14:textId="77777777" w:rsidR="00686D08" w:rsidRPr="000118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highlight w:val="yellow"/>
          <w:lang w:eastAsia="ru-RU"/>
        </w:rPr>
      </w:pPr>
    </w:p>
    <w:p w14:paraId="36EA5590" w14:textId="4685FAA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380D28">
        <w:rPr>
          <w:rFonts w:ascii="Verdana" w:hAnsi="Verdana"/>
        </w:rPr>
        <w:t>.</w:t>
      </w:r>
    </w:p>
    <w:p w14:paraId="0CEAD877" w14:textId="72E3DC75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A0FFD8" w14:textId="6FF96777" w:rsidR="00B531F3" w:rsidRDefault="00C42EB6" w:rsidP="00B531F3">
      <w:pPr>
        <w:pStyle w:val="Default"/>
        <w:rPr>
          <w:sz w:val="18"/>
          <w:szCs w:val="18"/>
        </w:rPr>
      </w:pPr>
      <w:r w:rsidRPr="009217B1">
        <w:t>- Банк-эмитент по аккредитиву - из топ-</w:t>
      </w:r>
      <w:r w:rsidR="00B531F3">
        <w:t>5</w:t>
      </w:r>
      <w:r w:rsidR="00B531F3" w:rsidRPr="009217B1">
        <w:t xml:space="preserve">0 </w:t>
      </w:r>
      <w:r w:rsidRPr="009217B1">
        <w:t xml:space="preserve">по объему капитала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3"/>
      </w:tblGrid>
      <w:tr w:rsidR="00B531F3" w14:paraId="6F1F3E2C" w14:textId="77777777">
        <w:trPr>
          <w:trHeight w:val="305"/>
        </w:trPr>
        <w:tc>
          <w:tcPr>
            <w:tcW w:w="6343" w:type="dxa"/>
          </w:tcPr>
          <w:p w14:paraId="3F4FAFFC" w14:textId="77777777" w:rsidR="00B531F3" w:rsidRDefault="00B531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данным рейтингового агентства РИА Рейтинг (прим: рейтинг доступен на сайте агентства http://vid1.rian.ru/ig/ratings/banki_07_03_21</w:t>
            </w:r>
          </w:p>
        </w:tc>
      </w:tr>
    </w:tbl>
    <w:p w14:paraId="56D97E5C" w14:textId="1A185A5D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</w:p>
    <w:p w14:paraId="1C2AC267" w14:textId="2ACC6400" w:rsidR="00686D08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1EED759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33515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F70B433" w14:textId="6A2612AB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1A7198A" w14:textId="77777777" w:rsidR="0061345C" w:rsidRPr="008509DF" w:rsidRDefault="0061345C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C67A322" w14:textId="61AAF94E" w:rsidR="00686D08" w:rsidRDefault="0061345C" w:rsidP="000118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ПРОДАВЦА: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86D0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proofErr w:type="gramEnd"/>
      <w:r w:rsidR="00686D0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</w:t>
      </w:r>
      <w:r w:rsidR="00686D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</w:t>
      </w:r>
      <w:r w:rsidR="00686D08"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B101F98" w14:textId="77777777" w:rsidR="0061345C" w:rsidRPr="008509DF" w:rsidRDefault="0061345C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7ADAA5" w14:textId="53ED3875" w:rsidR="00686D08" w:rsidRPr="008509DF" w:rsidRDefault="00686D08" w:rsidP="008E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93EECA" w14:textId="5DC42453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ПОКУПАТЕЛЯ:   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_/_______________/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FABC" w14:textId="77777777" w:rsidR="009F6192" w:rsidRDefault="009F6192" w:rsidP="00E33D4F">
      <w:pPr>
        <w:spacing w:after="0" w:line="240" w:lineRule="auto"/>
      </w:pPr>
      <w:r>
        <w:separator/>
      </w:r>
    </w:p>
  </w:endnote>
  <w:endnote w:type="continuationSeparator" w:id="0">
    <w:p w14:paraId="6C4D5BAC" w14:textId="77777777" w:rsidR="009F6192" w:rsidRDefault="009F619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9C4DDB1" w:rsidR="00D60EE9" w:rsidRDefault="00D60E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17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D60EE9" w:rsidRDefault="00D60E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4A1E" w14:textId="77777777" w:rsidR="009F6192" w:rsidRDefault="009F6192" w:rsidP="00E33D4F">
      <w:pPr>
        <w:spacing w:after="0" w:line="240" w:lineRule="auto"/>
      </w:pPr>
      <w:r>
        <w:separator/>
      </w:r>
    </w:p>
  </w:footnote>
  <w:footnote w:type="continuationSeparator" w:id="0">
    <w:p w14:paraId="22F36B36" w14:textId="77777777" w:rsidR="009F6192" w:rsidRDefault="009F6192" w:rsidP="00E33D4F">
      <w:pPr>
        <w:spacing w:after="0" w:line="240" w:lineRule="auto"/>
      </w:pPr>
      <w:r>
        <w:continuationSeparator/>
      </w:r>
    </w:p>
  </w:footnote>
  <w:footnote w:id="1">
    <w:p w14:paraId="4DA18FC6" w14:textId="77777777" w:rsidR="00D60EE9" w:rsidRPr="00120657" w:rsidRDefault="00D60EE9" w:rsidP="004058F5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4A158B5A" w14:textId="77777777" w:rsidR="00D60EE9" w:rsidRPr="00120657" w:rsidRDefault="00D60EE9" w:rsidP="004058F5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D60EE9" w:rsidRPr="00D03FB6" w:rsidRDefault="00D60EE9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D60EE9" w:rsidRPr="00D03FB6" w:rsidRDefault="00D60EE9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D60EE9" w:rsidRPr="008070A5" w:rsidRDefault="00D60EE9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0174C9F"/>
    <w:multiLevelType w:val="hybridMultilevel"/>
    <w:tmpl w:val="DF82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66A0"/>
    <w:multiLevelType w:val="multilevel"/>
    <w:tmpl w:val="9D4CEDA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640DEF"/>
    <w:multiLevelType w:val="multilevel"/>
    <w:tmpl w:val="664850B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196C83F0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305EDD7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2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7"/>
  </w:num>
  <w:num w:numId="18">
    <w:abstractNumId w:val="13"/>
  </w:num>
  <w:num w:numId="19">
    <w:abstractNumId w:val="7"/>
  </w:num>
  <w:num w:numId="20">
    <w:abstractNumId w:val="21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9"/>
  </w:num>
  <w:num w:numId="27">
    <w:abstractNumId w:val="24"/>
  </w:num>
  <w:num w:numId="28">
    <w:abstractNumId w:val="8"/>
  </w:num>
  <w:num w:numId="29">
    <w:abstractNumId w:val="35"/>
  </w:num>
  <w:num w:numId="30">
    <w:abstractNumId w:val="28"/>
  </w:num>
  <w:num w:numId="31">
    <w:abstractNumId w:val="23"/>
  </w:num>
  <w:num w:numId="32">
    <w:abstractNumId w:val="1"/>
  </w:num>
  <w:num w:numId="33">
    <w:abstractNumId w:val="20"/>
  </w:num>
  <w:num w:numId="34">
    <w:abstractNumId w:val="30"/>
  </w:num>
  <w:num w:numId="35">
    <w:abstractNumId w:val="19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5863"/>
    <w:rsid w:val="000066EC"/>
    <w:rsid w:val="00006CFE"/>
    <w:rsid w:val="0000709E"/>
    <w:rsid w:val="000077E3"/>
    <w:rsid w:val="00010B91"/>
    <w:rsid w:val="0001181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3271"/>
    <w:rsid w:val="000844EF"/>
    <w:rsid w:val="0008466D"/>
    <w:rsid w:val="000927FB"/>
    <w:rsid w:val="00093EDB"/>
    <w:rsid w:val="00095F3C"/>
    <w:rsid w:val="000967E9"/>
    <w:rsid w:val="000973B7"/>
    <w:rsid w:val="00097EC7"/>
    <w:rsid w:val="000A068D"/>
    <w:rsid w:val="000A0B3B"/>
    <w:rsid w:val="000A1317"/>
    <w:rsid w:val="000A3E4C"/>
    <w:rsid w:val="000A7691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2DC3"/>
    <w:rsid w:val="000D446F"/>
    <w:rsid w:val="000D5385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65EF"/>
    <w:rsid w:val="000F7023"/>
    <w:rsid w:val="0010155F"/>
    <w:rsid w:val="001024FD"/>
    <w:rsid w:val="00102FE7"/>
    <w:rsid w:val="00103A3A"/>
    <w:rsid w:val="0010628D"/>
    <w:rsid w:val="00106775"/>
    <w:rsid w:val="001102D9"/>
    <w:rsid w:val="00111061"/>
    <w:rsid w:val="00114EF9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23CC"/>
    <w:rsid w:val="00144FDC"/>
    <w:rsid w:val="00150E56"/>
    <w:rsid w:val="00155F3D"/>
    <w:rsid w:val="00156210"/>
    <w:rsid w:val="00156C6F"/>
    <w:rsid w:val="00162863"/>
    <w:rsid w:val="00163C1A"/>
    <w:rsid w:val="00163D0E"/>
    <w:rsid w:val="001653ED"/>
    <w:rsid w:val="00165D64"/>
    <w:rsid w:val="0016621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25D8"/>
    <w:rsid w:val="001C4321"/>
    <w:rsid w:val="001C503F"/>
    <w:rsid w:val="001C7960"/>
    <w:rsid w:val="001D1EAB"/>
    <w:rsid w:val="001D2504"/>
    <w:rsid w:val="001D3133"/>
    <w:rsid w:val="001D4AF6"/>
    <w:rsid w:val="001D5993"/>
    <w:rsid w:val="001D6B8E"/>
    <w:rsid w:val="001D6DCB"/>
    <w:rsid w:val="001D72DA"/>
    <w:rsid w:val="001D7929"/>
    <w:rsid w:val="001D7E81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372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5586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67E78"/>
    <w:rsid w:val="00370031"/>
    <w:rsid w:val="0037118C"/>
    <w:rsid w:val="0037350E"/>
    <w:rsid w:val="00373E89"/>
    <w:rsid w:val="0037722D"/>
    <w:rsid w:val="00380D28"/>
    <w:rsid w:val="00381D74"/>
    <w:rsid w:val="00386377"/>
    <w:rsid w:val="00387FA5"/>
    <w:rsid w:val="00390A4F"/>
    <w:rsid w:val="00391481"/>
    <w:rsid w:val="00391E62"/>
    <w:rsid w:val="003961EC"/>
    <w:rsid w:val="003963EB"/>
    <w:rsid w:val="00396B39"/>
    <w:rsid w:val="003A1B23"/>
    <w:rsid w:val="003A36C1"/>
    <w:rsid w:val="003A3708"/>
    <w:rsid w:val="003A505E"/>
    <w:rsid w:val="003B025F"/>
    <w:rsid w:val="003B1809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4F56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3E2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058F5"/>
    <w:rsid w:val="004108AE"/>
    <w:rsid w:val="00410A63"/>
    <w:rsid w:val="00412CEA"/>
    <w:rsid w:val="00412FD9"/>
    <w:rsid w:val="00413019"/>
    <w:rsid w:val="004141D0"/>
    <w:rsid w:val="00414594"/>
    <w:rsid w:val="00414F5A"/>
    <w:rsid w:val="00415127"/>
    <w:rsid w:val="00415F1C"/>
    <w:rsid w:val="004160D8"/>
    <w:rsid w:val="0041637B"/>
    <w:rsid w:val="00416524"/>
    <w:rsid w:val="00416CF3"/>
    <w:rsid w:val="00416D32"/>
    <w:rsid w:val="0041729E"/>
    <w:rsid w:val="00417AA6"/>
    <w:rsid w:val="004218C5"/>
    <w:rsid w:val="00426B81"/>
    <w:rsid w:val="004271B3"/>
    <w:rsid w:val="004302F2"/>
    <w:rsid w:val="004305AA"/>
    <w:rsid w:val="00433FB9"/>
    <w:rsid w:val="00434C82"/>
    <w:rsid w:val="00435A39"/>
    <w:rsid w:val="00440A77"/>
    <w:rsid w:val="00441B3B"/>
    <w:rsid w:val="00441C95"/>
    <w:rsid w:val="00444442"/>
    <w:rsid w:val="0044564A"/>
    <w:rsid w:val="00446BFD"/>
    <w:rsid w:val="0044731D"/>
    <w:rsid w:val="00450B06"/>
    <w:rsid w:val="00450B9C"/>
    <w:rsid w:val="00451A57"/>
    <w:rsid w:val="00452639"/>
    <w:rsid w:val="00453FF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5931"/>
    <w:rsid w:val="00496502"/>
    <w:rsid w:val="00497738"/>
    <w:rsid w:val="00497C78"/>
    <w:rsid w:val="004A321F"/>
    <w:rsid w:val="004A3929"/>
    <w:rsid w:val="004A4409"/>
    <w:rsid w:val="004A4561"/>
    <w:rsid w:val="004A608B"/>
    <w:rsid w:val="004A7752"/>
    <w:rsid w:val="004B051A"/>
    <w:rsid w:val="004B1E97"/>
    <w:rsid w:val="004B42AB"/>
    <w:rsid w:val="004B5039"/>
    <w:rsid w:val="004B52C4"/>
    <w:rsid w:val="004B717F"/>
    <w:rsid w:val="004C0B95"/>
    <w:rsid w:val="004C1F07"/>
    <w:rsid w:val="004C2028"/>
    <w:rsid w:val="004C2778"/>
    <w:rsid w:val="004C2D43"/>
    <w:rsid w:val="004C524F"/>
    <w:rsid w:val="004C55AA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362"/>
    <w:rsid w:val="004F51F2"/>
    <w:rsid w:val="004F68CD"/>
    <w:rsid w:val="0050116F"/>
    <w:rsid w:val="00504D4E"/>
    <w:rsid w:val="00506D9A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37D1"/>
    <w:rsid w:val="0052609C"/>
    <w:rsid w:val="00526430"/>
    <w:rsid w:val="0052694F"/>
    <w:rsid w:val="0053008B"/>
    <w:rsid w:val="00530B22"/>
    <w:rsid w:val="00537346"/>
    <w:rsid w:val="005403C6"/>
    <w:rsid w:val="0054117F"/>
    <w:rsid w:val="00542717"/>
    <w:rsid w:val="0054280C"/>
    <w:rsid w:val="00545918"/>
    <w:rsid w:val="00545F3F"/>
    <w:rsid w:val="0055535E"/>
    <w:rsid w:val="0055668A"/>
    <w:rsid w:val="0055725C"/>
    <w:rsid w:val="00560ADF"/>
    <w:rsid w:val="00560E89"/>
    <w:rsid w:val="00562169"/>
    <w:rsid w:val="00562322"/>
    <w:rsid w:val="005637CC"/>
    <w:rsid w:val="005669A4"/>
    <w:rsid w:val="005702F1"/>
    <w:rsid w:val="00572946"/>
    <w:rsid w:val="00572BA2"/>
    <w:rsid w:val="00572C9D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C6A"/>
    <w:rsid w:val="005A225B"/>
    <w:rsid w:val="005A6AFB"/>
    <w:rsid w:val="005A6E03"/>
    <w:rsid w:val="005A7DCA"/>
    <w:rsid w:val="005B5DFD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23C5"/>
    <w:rsid w:val="005E4584"/>
    <w:rsid w:val="005E5704"/>
    <w:rsid w:val="005E7BE9"/>
    <w:rsid w:val="005F043E"/>
    <w:rsid w:val="005F1DA6"/>
    <w:rsid w:val="005F220F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1788"/>
    <w:rsid w:val="0061345C"/>
    <w:rsid w:val="0061442D"/>
    <w:rsid w:val="00615599"/>
    <w:rsid w:val="00617D5E"/>
    <w:rsid w:val="00624775"/>
    <w:rsid w:val="00624B6E"/>
    <w:rsid w:val="00631799"/>
    <w:rsid w:val="00633CF9"/>
    <w:rsid w:val="00634B19"/>
    <w:rsid w:val="00640CE7"/>
    <w:rsid w:val="00641589"/>
    <w:rsid w:val="00645BF6"/>
    <w:rsid w:val="00646D39"/>
    <w:rsid w:val="00652999"/>
    <w:rsid w:val="00652F0C"/>
    <w:rsid w:val="0065596F"/>
    <w:rsid w:val="00656D58"/>
    <w:rsid w:val="00664D32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39B2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256A"/>
    <w:rsid w:val="006C33E2"/>
    <w:rsid w:val="006C3F82"/>
    <w:rsid w:val="006C50FC"/>
    <w:rsid w:val="006C5BF6"/>
    <w:rsid w:val="006D0C4F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6F77DF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771"/>
    <w:rsid w:val="00737A93"/>
    <w:rsid w:val="00737CDB"/>
    <w:rsid w:val="007411C4"/>
    <w:rsid w:val="00744679"/>
    <w:rsid w:val="00747C28"/>
    <w:rsid w:val="007504AE"/>
    <w:rsid w:val="007511DF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4437"/>
    <w:rsid w:val="00764972"/>
    <w:rsid w:val="0076568D"/>
    <w:rsid w:val="00770228"/>
    <w:rsid w:val="007704CD"/>
    <w:rsid w:val="00773D72"/>
    <w:rsid w:val="00775AF0"/>
    <w:rsid w:val="00777781"/>
    <w:rsid w:val="007779C1"/>
    <w:rsid w:val="007805CD"/>
    <w:rsid w:val="00782927"/>
    <w:rsid w:val="007905C5"/>
    <w:rsid w:val="007914AB"/>
    <w:rsid w:val="007917EE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77C"/>
    <w:rsid w:val="007F64DE"/>
    <w:rsid w:val="007F7DE1"/>
    <w:rsid w:val="008027BE"/>
    <w:rsid w:val="00803BB6"/>
    <w:rsid w:val="008070A5"/>
    <w:rsid w:val="008076AD"/>
    <w:rsid w:val="00810543"/>
    <w:rsid w:val="0081148F"/>
    <w:rsid w:val="00813127"/>
    <w:rsid w:val="0081363D"/>
    <w:rsid w:val="008143E3"/>
    <w:rsid w:val="008144B0"/>
    <w:rsid w:val="00814E62"/>
    <w:rsid w:val="00816F49"/>
    <w:rsid w:val="00817A51"/>
    <w:rsid w:val="00820352"/>
    <w:rsid w:val="00823E72"/>
    <w:rsid w:val="008248EF"/>
    <w:rsid w:val="0082493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63"/>
    <w:rsid w:val="00861516"/>
    <w:rsid w:val="00862047"/>
    <w:rsid w:val="00865125"/>
    <w:rsid w:val="00866E8B"/>
    <w:rsid w:val="00870461"/>
    <w:rsid w:val="00872B06"/>
    <w:rsid w:val="008749A5"/>
    <w:rsid w:val="00875514"/>
    <w:rsid w:val="008759BE"/>
    <w:rsid w:val="00876A9F"/>
    <w:rsid w:val="0087738B"/>
    <w:rsid w:val="00882881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0F5"/>
    <w:rsid w:val="008A11FB"/>
    <w:rsid w:val="008A1B72"/>
    <w:rsid w:val="008A3170"/>
    <w:rsid w:val="008A6980"/>
    <w:rsid w:val="008A797C"/>
    <w:rsid w:val="008B65F0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A0C"/>
    <w:rsid w:val="008D3FC0"/>
    <w:rsid w:val="008D5BEC"/>
    <w:rsid w:val="008D6A51"/>
    <w:rsid w:val="008E09A0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017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A1A"/>
    <w:rsid w:val="0095195D"/>
    <w:rsid w:val="00952105"/>
    <w:rsid w:val="009564FC"/>
    <w:rsid w:val="0095727C"/>
    <w:rsid w:val="0096008A"/>
    <w:rsid w:val="009604C2"/>
    <w:rsid w:val="00961052"/>
    <w:rsid w:val="00966EC8"/>
    <w:rsid w:val="009710BF"/>
    <w:rsid w:val="00971213"/>
    <w:rsid w:val="00972583"/>
    <w:rsid w:val="009726BD"/>
    <w:rsid w:val="009745F9"/>
    <w:rsid w:val="009821B9"/>
    <w:rsid w:val="00982ED3"/>
    <w:rsid w:val="009838DA"/>
    <w:rsid w:val="00984A3C"/>
    <w:rsid w:val="00985C1B"/>
    <w:rsid w:val="00987C8C"/>
    <w:rsid w:val="00992E56"/>
    <w:rsid w:val="00996767"/>
    <w:rsid w:val="0099685B"/>
    <w:rsid w:val="009A10B7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1AF1"/>
    <w:rsid w:val="009F2733"/>
    <w:rsid w:val="009F3508"/>
    <w:rsid w:val="009F4B6E"/>
    <w:rsid w:val="009F6192"/>
    <w:rsid w:val="009F67D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17641"/>
    <w:rsid w:val="00A21D79"/>
    <w:rsid w:val="00A232A3"/>
    <w:rsid w:val="00A23C6B"/>
    <w:rsid w:val="00A246BE"/>
    <w:rsid w:val="00A24C91"/>
    <w:rsid w:val="00A2545D"/>
    <w:rsid w:val="00A30CA0"/>
    <w:rsid w:val="00A324A2"/>
    <w:rsid w:val="00A3380C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27E8"/>
    <w:rsid w:val="00A82FA8"/>
    <w:rsid w:val="00A84C4B"/>
    <w:rsid w:val="00A85DE5"/>
    <w:rsid w:val="00A8755F"/>
    <w:rsid w:val="00A87951"/>
    <w:rsid w:val="00A87C12"/>
    <w:rsid w:val="00A90F04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179F"/>
    <w:rsid w:val="00AA21AE"/>
    <w:rsid w:val="00AA292C"/>
    <w:rsid w:val="00AA34C1"/>
    <w:rsid w:val="00AA37AD"/>
    <w:rsid w:val="00AA3E1A"/>
    <w:rsid w:val="00AA6498"/>
    <w:rsid w:val="00AA768F"/>
    <w:rsid w:val="00AA792A"/>
    <w:rsid w:val="00AA7E35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5974"/>
    <w:rsid w:val="00B012C3"/>
    <w:rsid w:val="00B01E0E"/>
    <w:rsid w:val="00B03BF7"/>
    <w:rsid w:val="00B04710"/>
    <w:rsid w:val="00B04B86"/>
    <w:rsid w:val="00B0523F"/>
    <w:rsid w:val="00B0731A"/>
    <w:rsid w:val="00B12FEC"/>
    <w:rsid w:val="00B13C17"/>
    <w:rsid w:val="00B13DF5"/>
    <w:rsid w:val="00B14042"/>
    <w:rsid w:val="00B14DED"/>
    <w:rsid w:val="00B1538F"/>
    <w:rsid w:val="00B15C81"/>
    <w:rsid w:val="00B17901"/>
    <w:rsid w:val="00B203E8"/>
    <w:rsid w:val="00B21F6D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51299"/>
    <w:rsid w:val="00B52CBF"/>
    <w:rsid w:val="00B531F3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3F09"/>
    <w:rsid w:val="00B86386"/>
    <w:rsid w:val="00B87012"/>
    <w:rsid w:val="00B87B84"/>
    <w:rsid w:val="00B92212"/>
    <w:rsid w:val="00B932DF"/>
    <w:rsid w:val="00B94590"/>
    <w:rsid w:val="00BA0264"/>
    <w:rsid w:val="00BA02B4"/>
    <w:rsid w:val="00BA030C"/>
    <w:rsid w:val="00BA06E2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282B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3A7C"/>
    <w:rsid w:val="00C14F0A"/>
    <w:rsid w:val="00C1613D"/>
    <w:rsid w:val="00C21632"/>
    <w:rsid w:val="00C26C43"/>
    <w:rsid w:val="00C31E01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4C9A"/>
    <w:rsid w:val="00C467C8"/>
    <w:rsid w:val="00C467F6"/>
    <w:rsid w:val="00C469B7"/>
    <w:rsid w:val="00C5074C"/>
    <w:rsid w:val="00C5372D"/>
    <w:rsid w:val="00C55B7E"/>
    <w:rsid w:val="00C55C42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77CB8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1EC6"/>
    <w:rsid w:val="00CA44E1"/>
    <w:rsid w:val="00CA4862"/>
    <w:rsid w:val="00CA5B8C"/>
    <w:rsid w:val="00CA695D"/>
    <w:rsid w:val="00CB0CB0"/>
    <w:rsid w:val="00CB1ACC"/>
    <w:rsid w:val="00CB35C9"/>
    <w:rsid w:val="00CB3911"/>
    <w:rsid w:val="00CB3942"/>
    <w:rsid w:val="00CB6567"/>
    <w:rsid w:val="00CB6D2E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8C4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038C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435B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0EE9"/>
    <w:rsid w:val="00D61656"/>
    <w:rsid w:val="00D61C32"/>
    <w:rsid w:val="00D63638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2B6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2EE5"/>
    <w:rsid w:val="00DA5B8B"/>
    <w:rsid w:val="00DB04D4"/>
    <w:rsid w:val="00DB2729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E6957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0F2B"/>
    <w:rsid w:val="00E13CF4"/>
    <w:rsid w:val="00E13E74"/>
    <w:rsid w:val="00E15BBC"/>
    <w:rsid w:val="00E219D3"/>
    <w:rsid w:val="00E22EAE"/>
    <w:rsid w:val="00E23226"/>
    <w:rsid w:val="00E2537D"/>
    <w:rsid w:val="00E26431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B7F"/>
    <w:rsid w:val="00E5228B"/>
    <w:rsid w:val="00E52BEC"/>
    <w:rsid w:val="00E57A0D"/>
    <w:rsid w:val="00E62AAB"/>
    <w:rsid w:val="00E63B17"/>
    <w:rsid w:val="00E63D94"/>
    <w:rsid w:val="00E651CF"/>
    <w:rsid w:val="00E65C25"/>
    <w:rsid w:val="00E669EA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742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823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4F04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6AE9"/>
    <w:rsid w:val="00F47A86"/>
    <w:rsid w:val="00F50121"/>
    <w:rsid w:val="00F50B5A"/>
    <w:rsid w:val="00F5200E"/>
    <w:rsid w:val="00F52EE5"/>
    <w:rsid w:val="00F54327"/>
    <w:rsid w:val="00F543A6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1D67"/>
    <w:rsid w:val="00F82625"/>
    <w:rsid w:val="00F83381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C6345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2BCD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2D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8AEA-134B-411D-97D7-5F66E7CE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Блохин Юрий Владимирович</cp:lastModifiedBy>
  <cp:revision>3</cp:revision>
  <cp:lastPrinted>2019-10-21T13:14:00Z</cp:lastPrinted>
  <dcterms:created xsi:type="dcterms:W3CDTF">2021-12-03T18:56:00Z</dcterms:created>
  <dcterms:modified xsi:type="dcterms:W3CDTF">2021-12-06T08:09:00Z</dcterms:modified>
</cp:coreProperties>
</file>