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08102E0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064A962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</w:t>
      </w:r>
      <w:r w:rsidR="008B27B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244836D" w:rsidR="00CC3B0A" w:rsidRPr="00224F8A" w:rsidRDefault="00CC3B0A" w:rsidP="00D83B83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872FF77" w14:textId="77777777" w:rsidR="00E133E1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80"/>
      </w:tblGrid>
      <w:tr w:rsidR="00E133E1" w:rsidRPr="00E133E1" w14:paraId="358ED2B0" w14:textId="77777777" w:rsidTr="00E133E1">
        <w:trPr>
          <w:trHeight w:val="1509"/>
        </w:trPr>
        <w:tc>
          <w:tcPr>
            <w:tcW w:w="9580" w:type="dxa"/>
          </w:tcPr>
          <w:p w14:paraId="0EBF4496" w14:textId="32182BF8" w:rsidR="00E133E1" w:rsidRPr="00E133E1" w:rsidRDefault="00E133E1" w:rsidP="00E133E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Земельный участок общей площадью 1500 кв. м, категория земель: земли населённых пунктов, вид разрешённого использования: для ведения личного подсобного хозяйства, кадастровый номер: 50:04:0090204:226, расположенный по адресу: установлено относительно ориентира, расположенного в границах участка. Почтовый адрес ориентира: обл. Московская, р- н Дмитровский, с/пос. </w:t>
            </w:r>
            <w:proofErr w:type="spellStart"/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>Синьковское</w:t>
            </w:r>
            <w:proofErr w:type="spellEnd"/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>, д. Бунятино, ул. Центральная</w:t>
            </w:r>
            <w:r w:rsidRPr="00DA422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далее – Объект 1</w:t>
            </w:r>
            <w:r w:rsidRPr="00DA422A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; </w:t>
            </w:r>
          </w:p>
          <w:p w14:paraId="5AB6E57D" w14:textId="11DA0ABA" w:rsidR="00E133E1" w:rsidRPr="00E133E1" w:rsidRDefault="00E133E1" w:rsidP="00E133E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Земельный участок общей площадью 500 кв. м, категория земель: земли населённых пунктов, вид разрешённого использования: для ведения личного подсобного хозяйства, кадастровый номер: 50:04:0090204:225, расположенный по адресу: установлено относительно ориентира, расположенного в границах участка. Почтовый адрес ориентира: обл. Московская, р-н Дмитровский, с/пос. </w:t>
            </w:r>
            <w:proofErr w:type="spellStart"/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>Синьковское</w:t>
            </w:r>
            <w:proofErr w:type="spellEnd"/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>, д. Бунятино, ул. Центральная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(далее – Объект 2, при совместном упоминании Объекты)</w:t>
            </w:r>
            <w:r w:rsidRPr="00E133E1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; </w:t>
            </w:r>
          </w:p>
        </w:tc>
      </w:tr>
      <w:tr w:rsidR="00515F5D" w:rsidRPr="00645BF6" w14:paraId="389E18F5" w14:textId="77777777" w:rsidTr="00E1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7"/>
        </w:trPr>
        <w:tc>
          <w:tcPr>
            <w:tcW w:w="95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27D82" w:rsidRPr="00D27D82" w14:paraId="13510616" w14:textId="77777777" w:rsidTr="00E133E1">
              <w:trPr>
                <w:trHeight w:val="853"/>
              </w:trPr>
              <w:tc>
                <w:tcPr>
                  <w:tcW w:w="236" w:type="dxa"/>
                </w:tcPr>
                <w:p w14:paraId="6346199A" w14:textId="58AF0F89" w:rsidR="00D27D82" w:rsidRPr="00D27D82" w:rsidRDefault="00D27D82" w:rsidP="00D27D82">
                  <w:pPr>
                    <w:pStyle w:val="a5"/>
                    <w:numPr>
                      <w:ilvl w:val="0"/>
                      <w:numId w:val="35"/>
                    </w:numPr>
                    <w:adjustRightInd w:val="0"/>
                    <w:jc w:val="both"/>
                    <w:rPr>
                      <w:rFonts w:ascii="Verdana" w:hAnsi="Verdana" w:cs="Verdana"/>
                      <w:color w:val="000000"/>
                    </w:rPr>
                  </w:pPr>
                </w:p>
              </w:tc>
            </w:tr>
          </w:tbl>
          <w:p w14:paraId="7222B59C" w14:textId="658F48A2" w:rsidR="00515F5D" w:rsidRPr="00E91958" w:rsidRDefault="00515F5D" w:rsidP="00D27D82">
            <w:pPr>
              <w:pStyle w:val="a5"/>
              <w:ind w:left="0"/>
              <w:jc w:val="both"/>
              <w:rPr>
                <w:rFonts w:ascii="Verdana" w:hAnsi="Verdana"/>
                <w:i/>
                <w:color w:val="0070C0"/>
              </w:rPr>
            </w:pPr>
          </w:p>
        </w:tc>
      </w:tr>
      <w:tr w:rsidR="00515F5D" w:rsidRPr="00645BF6" w14:paraId="6C644CC2" w14:textId="77777777" w:rsidTr="00E1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9580" w:type="dxa"/>
          </w:tcPr>
          <w:p w14:paraId="24304F70" w14:textId="7ACC7CE5" w:rsidR="00515F5D" w:rsidRPr="00645BF6" w:rsidRDefault="00515F5D" w:rsidP="00D27D82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05A4B94E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2E16BB">
        <w:tc>
          <w:tcPr>
            <w:tcW w:w="9634" w:type="dxa"/>
          </w:tcPr>
          <w:p w14:paraId="52EBED49" w14:textId="57BAB7FF" w:rsidR="007A5A69" w:rsidRDefault="00E133E1" w:rsidP="00A07352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Объект 1</w:t>
            </w:r>
            <w:r w:rsidR="00AF721D" w:rsidRPr="00923AA0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</w:t>
            </w:r>
            <w:r w:rsidR="00AF721D" w:rsidRPr="00E91958">
              <w:rPr>
                <w:rFonts w:ascii="Verdana" w:hAnsi="Verdana"/>
                <w:color w:val="000000" w:themeColor="text1"/>
              </w:rPr>
              <w:t>о</w:t>
            </w:r>
            <w:r w:rsidR="007A5A69">
              <w:rPr>
                <w:rFonts w:ascii="Verdana" w:hAnsi="Verdana"/>
                <w:color w:val="000000" w:themeColor="text1"/>
              </w:rPr>
              <w:t xml:space="preserve"> чем в </w:t>
            </w:r>
            <w:r w:rsidR="00A07352">
              <w:rPr>
                <w:rFonts w:ascii="Verdana" w:hAnsi="Verdana"/>
                <w:color w:val="000000" w:themeColor="text1"/>
              </w:rPr>
              <w:t xml:space="preserve">Едином </w:t>
            </w:r>
            <w:r w:rsidR="00AF721D" w:rsidRPr="00E91958">
              <w:rPr>
                <w:rFonts w:ascii="Verdana" w:hAnsi="Verdana"/>
                <w:color w:val="000000" w:themeColor="text1"/>
              </w:rPr>
              <w:t>государственном реестре недвижимости сделана запись о регистрации</w:t>
            </w:r>
            <w:r w:rsidR="00E91958">
              <w:rPr>
                <w:rFonts w:ascii="Verdana" w:hAnsi="Verdana"/>
                <w:color w:val="000000" w:themeColor="text1"/>
              </w:rPr>
              <w:t xml:space="preserve"> </w:t>
            </w:r>
            <w:proofErr w:type="gramStart"/>
            <w:r w:rsidR="00E91958">
              <w:rPr>
                <w:rFonts w:ascii="Verdana" w:hAnsi="Verdana"/>
                <w:color w:val="000000" w:themeColor="text1"/>
              </w:rPr>
              <w:t>№</w:t>
            </w:r>
            <w:r w:rsidR="00B6292C">
              <w:rPr>
                <w:rFonts w:ascii="Verdana" w:hAnsi="Verdana"/>
                <w:color w:val="000000" w:themeColor="text1"/>
              </w:rPr>
              <w:t xml:space="preserve"> </w:t>
            </w:r>
            <w:r w:rsidR="00A07352" w:rsidRPr="00A07352">
              <w:rPr>
                <w:rFonts w:ascii="Verdana" w:hAnsi="Verdana"/>
                <w:color w:val="000000" w:themeColor="text1"/>
              </w:rPr>
              <w:t xml:space="preserve"> 50:04:0090204</w:t>
            </w:r>
            <w:proofErr w:type="gramEnd"/>
            <w:r w:rsidR="00A07352" w:rsidRPr="00A07352">
              <w:rPr>
                <w:rFonts w:ascii="Verdana" w:hAnsi="Verdana"/>
                <w:color w:val="000000" w:themeColor="text1"/>
              </w:rPr>
              <w:t xml:space="preserve">:226-50/031/2020-8 от 22.06.2020 </w:t>
            </w:r>
            <w:r w:rsidR="00B6292C">
              <w:rPr>
                <w:rFonts w:ascii="Verdana" w:hAnsi="Verdana"/>
                <w:color w:val="000000" w:themeColor="text1"/>
              </w:rPr>
              <w:t>г.</w:t>
            </w:r>
            <w:r w:rsidR="00AF721D" w:rsidRPr="00E91958">
              <w:rPr>
                <w:rFonts w:ascii="Verdana" w:hAnsi="Verdana"/>
                <w:color w:val="000000" w:themeColor="text1"/>
              </w:rPr>
              <w:t>, что подтверждается</w:t>
            </w:r>
          </w:p>
          <w:p w14:paraId="0424A059" w14:textId="77777777" w:rsidR="00AF721D" w:rsidRDefault="00AF721D" w:rsidP="00A07352">
            <w:pPr>
              <w:pStyle w:val="a5"/>
              <w:ind w:left="1070"/>
              <w:jc w:val="both"/>
              <w:rPr>
                <w:rFonts w:ascii="Verdana" w:hAnsi="Verdana"/>
                <w:color w:val="000000" w:themeColor="text1"/>
              </w:rPr>
            </w:pPr>
            <w:r w:rsidRPr="00E91958">
              <w:rPr>
                <w:rFonts w:ascii="Verdana" w:hAnsi="Verdana"/>
                <w:color w:val="000000" w:themeColor="text1"/>
              </w:rPr>
              <w:t>Выпиской из Единого государственного реестра недвижимости</w:t>
            </w:r>
            <w:r w:rsidR="00E91958">
              <w:rPr>
                <w:rFonts w:ascii="Verdana" w:hAnsi="Verdana"/>
                <w:color w:val="000000" w:themeColor="text1"/>
              </w:rPr>
              <w:t xml:space="preserve"> от </w:t>
            </w:r>
            <w:r w:rsidR="00A07352" w:rsidRPr="00A07352">
              <w:rPr>
                <w:rFonts w:ascii="Verdana" w:hAnsi="Verdana"/>
                <w:color w:val="000000" w:themeColor="text1"/>
              </w:rPr>
              <w:t>07.07.2021 № 99/2021/403214832</w:t>
            </w:r>
            <w:r w:rsidR="00A07352">
              <w:rPr>
                <w:rFonts w:ascii="Verdana" w:hAnsi="Verdana"/>
                <w:color w:val="000000" w:themeColor="text1"/>
              </w:rPr>
              <w:t>;</w:t>
            </w:r>
          </w:p>
          <w:p w14:paraId="38FACA8B" w14:textId="166496C6" w:rsidR="00A07352" w:rsidRPr="00A07352" w:rsidRDefault="00A07352" w:rsidP="00A07352">
            <w:pPr>
              <w:pStyle w:val="a5"/>
              <w:ind w:left="1070"/>
              <w:jc w:val="both"/>
              <w:rPr>
                <w:rFonts w:ascii="Verdana" w:hAnsi="Verdana"/>
                <w:color w:val="000000" w:themeColor="text1"/>
              </w:rPr>
            </w:pPr>
            <w:r w:rsidRPr="00A07352">
              <w:rPr>
                <w:rFonts w:ascii="Verdana" w:hAnsi="Verdana"/>
                <w:color w:val="000000" w:themeColor="text1"/>
              </w:rPr>
              <w:t xml:space="preserve">Объект </w:t>
            </w:r>
            <w:r>
              <w:rPr>
                <w:rFonts w:ascii="Verdana" w:hAnsi="Verdana"/>
                <w:color w:val="000000" w:themeColor="text1"/>
              </w:rPr>
              <w:t>2</w:t>
            </w:r>
            <w:r w:rsidRPr="00A07352">
              <w:rPr>
                <w:rFonts w:ascii="Verdana" w:hAnsi="Verdana"/>
                <w:color w:val="000000" w:themeColor="text1"/>
              </w:rPr>
              <w:t xml:space="preserve"> принадлежит Продавцу на праве </w:t>
            </w:r>
            <w:proofErr w:type="gramStart"/>
            <w:r w:rsidRPr="00A07352">
              <w:rPr>
                <w:rFonts w:ascii="Verdana" w:hAnsi="Verdana"/>
                <w:color w:val="000000" w:themeColor="text1"/>
              </w:rPr>
              <w:t>собственности</w:t>
            </w:r>
            <w:proofErr w:type="gramEnd"/>
            <w:r w:rsidRPr="00A07352">
              <w:rPr>
                <w:rFonts w:ascii="Verdana" w:hAnsi="Verdana"/>
                <w:color w:val="000000" w:themeColor="text1"/>
              </w:rPr>
              <w:t xml:space="preserve"> о чем в Едином государственном реестре недвижимости сделана запись о регистрации № 50:04:0090204:225-50/031/2020-9 от 22.06.2020., что подтверждается</w:t>
            </w:r>
          </w:p>
          <w:p w14:paraId="7B632150" w14:textId="646F10AC" w:rsidR="00A07352" w:rsidRPr="00E91958" w:rsidRDefault="00A07352" w:rsidP="00A07352">
            <w:pPr>
              <w:pStyle w:val="a5"/>
              <w:ind w:left="1070"/>
              <w:jc w:val="both"/>
              <w:rPr>
                <w:rFonts w:ascii="Verdana" w:hAnsi="Verdana"/>
                <w:color w:val="000000" w:themeColor="text1"/>
              </w:rPr>
            </w:pPr>
            <w:r w:rsidRPr="00A07352">
              <w:rPr>
                <w:rFonts w:ascii="Verdana" w:hAnsi="Verdana"/>
                <w:color w:val="000000" w:themeColor="text1"/>
              </w:rPr>
              <w:t>Выпиской из Единого государственного реестра недвижимости от 07.07.2021 №</w:t>
            </w:r>
            <w:r>
              <w:t xml:space="preserve"> </w:t>
            </w:r>
            <w:r w:rsidRPr="00A07352">
              <w:rPr>
                <w:rFonts w:ascii="Verdana" w:hAnsi="Verdana"/>
                <w:color w:val="000000" w:themeColor="text1"/>
              </w:rPr>
              <w:t>99/2021/403235683</w:t>
            </w:r>
            <w:r>
              <w:rPr>
                <w:rFonts w:ascii="Verdana" w:hAnsi="Verdana"/>
                <w:color w:val="000000" w:themeColor="text1"/>
              </w:rPr>
              <w:t>.</w:t>
            </w:r>
            <w:r w:rsidRPr="00A07352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</w:tbl>
    <w:p w14:paraId="2EE49ED7" w14:textId="777B7D8C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58AB0EF4" w:rsidR="0034333C" w:rsidRPr="008509DF" w:rsidRDefault="00AF17DD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AF17DD">
        <w:rPr>
          <w:rFonts w:ascii="Verdana" w:hAnsi="Verdana"/>
          <w:bCs/>
        </w:rPr>
        <w:t xml:space="preserve">1.5. На дату подписания Договора </w:t>
      </w:r>
      <w:r w:rsidR="00B6292C">
        <w:rPr>
          <w:rFonts w:ascii="Verdana" w:hAnsi="Verdana"/>
          <w:bCs/>
        </w:rPr>
        <w:t>земельны</w:t>
      </w:r>
      <w:r w:rsidR="00A07352">
        <w:rPr>
          <w:rFonts w:ascii="Verdana" w:hAnsi="Verdana"/>
          <w:bCs/>
        </w:rPr>
        <w:t>е участ</w:t>
      </w:r>
      <w:r w:rsidR="00B6292C">
        <w:rPr>
          <w:rFonts w:ascii="Verdana" w:hAnsi="Verdana"/>
          <w:bCs/>
        </w:rPr>
        <w:t>к</w:t>
      </w:r>
      <w:r w:rsidR="00A07352">
        <w:rPr>
          <w:rFonts w:ascii="Verdana" w:hAnsi="Verdana"/>
          <w:bCs/>
        </w:rPr>
        <w:t>и</w:t>
      </w:r>
      <w:r w:rsidRPr="00AF17DD">
        <w:rPr>
          <w:rFonts w:ascii="Verdana" w:hAnsi="Verdana"/>
          <w:bCs/>
        </w:rPr>
        <w:t xml:space="preserve"> не отчужден</w:t>
      </w:r>
      <w:r w:rsidR="00A07352">
        <w:rPr>
          <w:rFonts w:ascii="Verdana" w:hAnsi="Verdana"/>
          <w:bCs/>
        </w:rPr>
        <w:t>ы</w:t>
      </w:r>
      <w:r w:rsidRPr="00AF17DD">
        <w:rPr>
          <w:rFonts w:ascii="Verdana" w:hAnsi="Verdana"/>
          <w:bCs/>
        </w:rPr>
        <w:t>, не заложен</w:t>
      </w:r>
      <w:r w:rsidR="00A07352">
        <w:rPr>
          <w:rFonts w:ascii="Verdana" w:hAnsi="Verdana"/>
          <w:bCs/>
        </w:rPr>
        <w:t>ы</w:t>
      </w:r>
      <w:r w:rsidRPr="00AF17DD">
        <w:rPr>
          <w:rFonts w:ascii="Verdana" w:hAnsi="Verdana"/>
          <w:bCs/>
        </w:rPr>
        <w:t>,</w:t>
      </w:r>
      <w:r w:rsidR="00A07352">
        <w:rPr>
          <w:rFonts w:ascii="Verdana" w:hAnsi="Verdana"/>
          <w:bCs/>
        </w:rPr>
        <w:t xml:space="preserve"> в споре и под арестом не состоя</w:t>
      </w:r>
      <w:r w:rsidRPr="00AF17DD">
        <w:rPr>
          <w:rFonts w:ascii="Verdana" w:hAnsi="Verdana"/>
          <w:bCs/>
        </w:rPr>
        <w:t>т, не обременен</w:t>
      </w:r>
      <w:r w:rsidR="00A07352">
        <w:rPr>
          <w:rFonts w:ascii="Verdana" w:hAnsi="Verdana"/>
          <w:bCs/>
        </w:rPr>
        <w:t>ы</w:t>
      </w:r>
      <w:r w:rsidRPr="00AF17DD">
        <w:rPr>
          <w:rFonts w:ascii="Verdana" w:hAnsi="Verdana"/>
          <w:bCs/>
        </w:rPr>
        <w:t xml:space="preserve"> правами третьих лиц, права на недвижимое имущество не являются предметом судебного спора.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751D3A6C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>окупатель на дату под</w:t>
      </w:r>
      <w:r w:rsidR="00A07352">
        <w:rPr>
          <w:rFonts w:ascii="Verdana" w:hAnsi="Verdana" w:cs="Times New Roman"/>
        </w:rPr>
        <w:t>писания ДКП ознакомлен с объекта</w:t>
      </w:r>
      <w:r w:rsidRPr="00B65C8C">
        <w:rPr>
          <w:rFonts w:ascii="Verdana" w:hAnsi="Verdana" w:cs="Times New Roman"/>
        </w:rPr>
        <w:t>м</w:t>
      </w:r>
      <w:r w:rsidR="00A07352">
        <w:rPr>
          <w:rFonts w:ascii="Verdana" w:hAnsi="Verdana" w:cs="Times New Roman"/>
        </w:rPr>
        <w:t>и</w:t>
      </w:r>
      <w:r w:rsidRPr="00B65C8C">
        <w:rPr>
          <w:rFonts w:ascii="Verdana" w:hAnsi="Verdana" w:cs="Times New Roman"/>
        </w:rPr>
        <w:t xml:space="preserve"> недвижимости и документацией на объект</w:t>
      </w:r>
      <w:r w:rsidR="00A07352">
        <w:rPr>
          <w:rFonts w:ascii="Verdana" w:hAnsi="Verdana" w:cs="Times New Roman"/>
        </w:rPr>
        <w:t>ы</w:t>
      </w:r>
      <w:r w:rsidRPr="00B65C8C">
        <w:rPr>
          <w:rFonts w:ascii="Verdana" w:hAnsi="Verdana" w:cs="Times New Roman"/>
        </w:rPr>
        <w:t xml:space="preserve"> недвижимости,</w:t>
      </w:r>
      <w:r w:rsidR="0065466D">
        <w:rPr>
          <w:rFonts w:ascii="Verdana" w:hAnsi="Verdana" w:cs="Times New Roman"/>
        </w:rPr>
        <w:t xml:space="preserve"> </w:t>
      </w:r>
      <w:r w:rsidR="0065466D" w:rsidRPr="0065466D">
        <w:rPr>
          <w:rFonts w:ascii="Verdana" w:hAnsi="Verdana" w:cs="Times New Roman"/>
        </w:rPr>
        <w:t>в том числе историей приобретения имущества</w:t>
      </w:r>
      <w:r w:rsidR="0065466D">
        <w:rPr>
          <w:rFonts w:ascii="Verdana" w:hAnsi="Verdana" w:cs="Times New Roman"/>
        </w:rPr>
        <w:t>. О</w:t>
      </w:r>
      <w:r w:rsidRPr="00B65C8C">
        <w:rPr>
          <w:rFonts w:ascii="Verdana" w:hAnsi="Verdana" w:cs="Times New Roman"/>
        </w:rPr>
        <w:t>бъект</w:t>
      </w:r>
      <w:r w:rsidR="00A07352">
        <w:rPr>
          <w:rFonts w:ascii="Verdana" w:hAnsi="Verdana" w:cs="Times New Roman"/>
        </w:rPr>
        <w:t>ы</w:t>
      </w:r>
      <w:r w:rsidR="0065466D">
        <w:rPr>
          <w:rFonts w:ascii="Verdana" w:hAnsi="Verdana" w:cs="Times New Roman"/>
        </w:rPr>
        <w:t xml:space="preserve"> недвижимости </w:t>
      </w:r>
      <w:r w:rsidRPr="00B65C8C">
        <w:rPr>
          <w:rFonts w:ascii="Verdana" w:hAnsi="Verdana" w:cs="Times New Roman"/>
        </w:rPr>
        <w:t>соответству</w:t>
      </w:r>
      <w:r w:rsidR="0065466D">
        <w:rPr>
          <w:rFonts w:ascii="Verdana" w:hAnsi="Verdana" w:cs="Times New Roman"/>
        </w:rPr>
        <w:t>е</w:t>
      </w:r>
      <w:r w:rsidRPr="00B65C8C">
        <w:rPr>
          <w:rFonts w:ascii="Verdana" w:hAnsi="Verdana" w:cs="Times New Roman"/>
        </w:rPr>
        <w:t xml:space="preserve">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A99778" w14:textId="77777777" w:rsidR="00DA422A" w:rsidRDefault="00950FF3" w:rsidP="0085790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AF17DD">
        <w:rPr>
          <w:rFonts w:ascii="Verdana" w:hAnsi="Verdana"/>
        </w:rPr>
        <w:t xml:space="preserve">Стоимость </w:t>
      </w:r>
      <w:r w:rsidR="00A07352">
        <w:rPr>
          <w:rFonts w:ascii="Verdana" w:hAnsi="Verdana"/>
        </w:rPr>
        <w:t>Объектов</w:t>
      </w:r>
      <w:r w:rsidRPr="00AF17DD">
        <w:rPr>
          <w:rFonts w:ascii="Verdana" w:hAnsi="Verdana"/>
        </w:rPr>
        <w:t xml:space="preserve"> составляет ______________________ (______</w:t>
      </w:r>
      <w:r w:rsidR="00AF17DD">
        <w:rPr>
          <w:rFonts w:ascii="Verdana" w:hAnsi="Verdana"/>
        </w:rPr>
        <w:t xml:space="preserve">____________) рублей ___ копеек, </w:t>
      </w:r>
      <w:r w:rsidR="0065466D">
        <w:rPr>
          <w:rFonts w:ascii="Verdana" w:hAnsi="Verdana"/>
        </w:rPr>
        <w:t>НДС не облагается</w:t>
      </w:r>
      <w:r w:rsidR="00AF17DD" w:rsidRPr="00AF17DD">
        <w:rPr>
          <w:rFonts w:ascii="Verdana" w:hAnsi="Verdana"/>
          <w:i/>
        </w:rPr>
        <w:t xml:space="preserve"> в соответствии с действующим законодательством</w:t>
      </w:r>
      <w:r w:rsidR="00DA422A">
        <w:rPr>
          <w:rFonts w:ascii="Verdana" w:hAnsi="Verdana"/>
        </w:rPr>
        <w:t>, а именно:</w:t>
      </w:r>
    </w:p>
    <w:p w14:paraId="516994A5" w14:textId="6E18682A" w:rsidR="000E3328" w:rsidRDefault="00DA422A" w:rsidP="00DA422A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Стоимость Объекта 1 составляет _____________</w:t>
      </w:r>
      <w:proofErr w:type="gramStart"/>
      <w:r>
        <w:rPr>
          <w:rFonts w:ascii="Verdana" w:hAnsi="Verdana"/>
        </w:rPr>
        <w:t>_(</w:t>
      </w:r>
      <w:proofErr w:type="gramEnd"/>
      <w:r>
        <w:rPr>
          <w:rFonts w:ascii="Verdana" w:hAnsi="Verdana"/>
        </w:rPr>
        <w:t>___________)</w:t>
      </w:r>
      <w:r w:rsidR="00017917" w:rsidRPr="00AF17DD">
        <w:rPr>
          <w:rFonts w:ascii="Verdana" w:hAnsi="Verdana"/>
        </w:rPr>
        <w:t xml:space="preserve"> </w:t>
      </w:r>
      <w:r w:rsidRPr="00DA422A">
        <w:rPr>
          <w:rFonts w:ascii="Verdana" w:hAnsi="Verdana"/>
        </w:rPr>
        <w:t>рублей ___ копеек, НДС не облагается в соответствии с действующим законодательством</w:t>
      </w:r>
    </w:p>
    <w:p w14:paraId="396115B5" w14:textId="4A436AF2" w:rsidR="00DA422A" w:rsidRPr="00AF17DD" w:rsidRDefault="00DA422A" w:rsidP="00DA422A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DA422A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</w:t>
      </w:r>
      <w:r w:rsidRPr="00DA422A">
        <w:rPr>
          <w:rFonts w:ascii="Verdana" w:hAnsi="Verdana"/>
        </w:rPr>
        <w:t xml:space="preserve"> составляет _____________</w:t>
      </w:r>
      <w:proofErr w:type="gramStart"/>
      <w:r w:rsidRPr="00DA422A">
        <w:rPr>
          <w:rFonts w:ascii="Verdana" w:hAnsi="Verdana"/>
        </w:rPr>
        <w:t>_(</w:t>
      </w:r>
      <w:proofErr w:type="gramEnd"/>
      <w:r w:rsidRPr="00DA422A">
        <w:rPr>
          <w:rFonts w:ascii="Verdana" w:hAnsi="Verdana"/>
        </w:rPr>
        <w:t>___________) рублей ___ копеек, НДС не облагается в соответствии с действующим законодательством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F3E5516" w:rsidR="00AB5223" w:rsidRPr="008509DF" w:rsidRDefault="00DE0E51" w:rsidP="0065466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</w:t>
            </w:r>
            <w:r w:rsidR="0065466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 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6BEE9348" w:rsidR="001E5436" w:rsidRPr="00566401" w:rsidRDefault="00B71921" w:rsidP="0065466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>(НДС</w:t>
            </w:r>
            <w:r w:rsidR="0065466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C802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C80221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2F98CCC1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 w:rsidR="000D261E"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 w:rsidR="00C8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="00A07352">
              <w:rPr>
                <w:rFonts w:ascii="Verdana" w:hAnsi="Verdana"/>
                <w:i/>
                <w:sz w:val="20"/>
                <w:szCs w:val="20"/>
              </w:rPr>
              <w:t xml:space="preserve">) рабочих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</w:t>
            </w:r>
            <w:proofErr w:type="gramStart"/>
            <w:r w:rsidRPr="008C63A5">
              <w:rPr>
                <w:rFonts w:ascii="Verdana" w:hAnsi="Verdana"/>
                <w:sz w:val="20"/>
                <w:szCs w:val="20"/>
              </w:rPr>
              <w:t>Покупатель  вносит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66D702B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C80221">
              <w:rPr>
                <w:rFonts w:ascii="Verdana" w:hAnsi="Verdana"/>
              </w:rPr>
              <w:t xml:space="preserve"> </w:t>
            </w:r>
            <w:r w:rsidR="00A07352">
              <w:rPr>
                <w:rFonts w:ascii="Verdana" w:hAnsi="Verdana"/>
              </w:rPr>
              <w:t>84 600</w:t>
            </w:r>
            <w:r w:rsidR="00C80221">
              <w:rPr>
                <w:rFonts w:ascii="Verdana" w:hAnsi="Verdana"/>
              </w:rPr>
              <w:t xml:space="preserve"> (</w:t>
            </w:r>
            <w:r w:rsidR="00A07352">
              <w:rPr>
                <w:rFonts w:ascii="Verdana" w:hAnsi="Verdana"/>
              </w:rPr>
              <w:t>восемьдесят четыре тысячи</w:t>
            </w:r>
            <w:r w:rsidR="0065466D">
              <w:rPr>
                <w:rFonts w:ascii="Verdana" w:hAnsi="Verdana"/>
              </w:rPr>
              <w:t xml:space="preserve"> </w:t>
            </w:r>
            <w:r w:rsidR="00A07352">
              <w:rPr>
                <w:rFonts w:ascii="Verdana" w:hAnsi="Verdana"/>
              </w:rPr>
              <w:t>шестьсот</w:t>
            </w:r>
            <w:r w:rsidR="00C80221">
              <w:rPr>
                <w:rFonts w:ascii="Verdana" w:hAnsi="Verdana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C80221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</w:t>
            </w:r>
            <w:r w:rsidR="00C80221">
              <w:rPr>
                <w:rFonts w:ascii="Verdana" w:hAnsi="Verdana"/>
              </w:rPr>
              <w:t>,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(НДС</w:t>
            </w:r>
            <w:r w:rsidR="0065466D">
              <w:rPr>
                <w:rFonts w:ascii="Verdana" w:hAnsi="Verdana"/>
                <w:i/>
                <w:color w:val="0070C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</w:rPr>
              <w:t xml:space="preserve"> в соответствии с действующим законодательством</w:t>
            </w:r>
            <w:r w:rsidR="00C80221">
              <w:rPr>
                <w:rFonts w:ascii="Verdana" w:hAnsi="Verdana"/>
                <w:i/>
                <w:color w:val="0070C0"/>
              </w:rPr>
              <w:t>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засчитывается в счет оплаты цены </w:t>
            </w:r>
            <w:r w:rsidR="0065466D">
              <w:rPr>
                <w:rFonts w:ascii="Verdana" w:hAnsi="Verdana"/>
              </w:rPr>
              <w:t>земельного участка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1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7F45DEF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07352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39B8CBD1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6546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6546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A073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65466D">
              <w:rPr>
                <w:rFonts w:ascii="Verdana" w:hAnsi="Verdana"/>
                <w:sz w:val="20"/>
                <w:szCs w:val="20"/>
              </w:rPr>
              <w:t>земельный участок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</w:t>
            </w:r>
            <w:r w:rsidR="0065466D">
              <w:rPr>
                <w:rFonts w:ascii="Verdana" w:hAnsi="Verdana"/>
                <w:sz w:val="20"/>
                <w:szCs w:val="20"/>
              </w:rPr>
              <w:t>жен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будет стать предметом еще одного залога (последующий залог) в обеспечение других требований. Требования последующего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залогодержателя будут удовлетворяться из стоимости </w:t>
            </w:r>
            <w:r w:rsidR="0065466D">
              <w:rPr>
                <w:rFonts w:ascii="Verdana" w:hAnsi="Verdana"/>
                <w:sz w:val="20"/>
                <w:szCs w:val="20"/>
              </w:rPr>
              <w:t>земельного участка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7B021FC9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5B1BD7">
              <w:rPr>
                <w:rFonts w:ascii="Verdana" w:hAnsi="Verdana"/>
              </w:rPr>
              <w:t xml:space="preserve"> на земельный участок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A07352">
              <w:rPr>
                <w:rFonts w:ascii="Verdana" w:hAnsi="Verdana"/>
              </w:rPr>
              <w:t>Объектов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294C3704" w:rsidR="000A1317" w:rsidRPr="00672CCD" w:rsidRDefault="008F55DE" w:rsidP="00A073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A073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Объекты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A073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A073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268FFA00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07352">
        <w:rPr>
          <w:rFonts w:ascii="Verdana" w:hAnsi="Verdana"/>
        </w:rPr>
        <w:t>Объекты</w:t>
      </w:r>
      <w:r w:rsidR="00A24C91" w:rsidRPr="008076AD">
        <w:rPr>
          <w:rFonts w:ascii="Verdana" w:hAnsi="Verdana"/>
        </w:rPr>
        <w:t xml:space="preserve">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 xml:space="preserve">поступления на расчетный счет Продавца денежной суммы, составляющей Цену </w:t>
      </w:r>
      <w:r w:rsidR="00C3338D">
        <w:rPr>
          <w:rFonts w:ascii="Verdana" w:hAnsi="Verdana"/>
        </w:rPr>
        <w:t>Объектов</w:t>
      </w:r>
      <w:r w:rsidR="00B877FA">
        <w:rPr>
          <w:rFonts w:ascii="Verdana" w:hAnsi="Verdana"/>
        </w:rPr>
        <w:t>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44D147CE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08513A16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36406C7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AE6A0E7" w:rsidR="00F54327" w:rsidRPr="00A94BE8" w:rsidRDefault="00F8488D" w:rsidP="00C333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63A3AF2C" w:rsidR="00F54327" w:rsidRPr="008076AD" w:rsidRDefault="00F8488D" w:rsidP="00C333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Объектов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7AF3240E" w:rsidR="00876F9C" w:rsidRPr="00876F9C" w:rsidRDefault="00876F9C" w:rsidP="00C333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4.2.1. произвести оплату цены </w:t>
            </w:r>
            <w:r w:rsidR="00C3338D">
              <w:rPr>
                <w:rFonts w:ascii="Verdana" w:hAnsi="Verdana"/>
                <w:i/>
                <w:color w:val="FF0000"/>
                <w:sz w:val="20"/>
                <w:szCs w:val="20"/>
              </w:rPr>
              <w:t>Объектов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CC2FAAE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470BFF4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их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4E73FD34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Объктов</w:t>
      </w:r>
      <w:proofErr w:type="spellEnd"/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</w:t>
      </w:r>
      <w:proofErr w:type="gramStart"/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proofErr w:type="gramEnd"/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D1197D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="00D1197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3EB0BC13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37E4C39D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C3338D" w:rsidRPr="00C333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Объекты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6F535D55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C3338D" w:rsidRP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CE14321" w:rsidR="00073672" w:rsidRPr="001C1460" w:rsidRDefault="0040799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4278F6D" w:rsidR="00566401" w:rsidRDefault="0040799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116F879B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C3338D" w:rsidRPr="00C333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Объекты </w:t>
      </w:r>
      <w:r w:rsidR="00D1197D">
        <w:rPr>
          <w:rFonts w:ascii="Verdana" w:eastAsia="Times New Roman" w:hAnsi="Verdana" w:cs="Times New Roman"/>
          <w:sz w:val="20"/>
          <w:szCs w:val="20"/>
          <w:lang w:eastAsia="ru-RU"/>
        </w:rPr>
        <w:t>участок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аккредитивной форме расчетов/ расчетов с использованием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, номинальный счет ООО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16242A6F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r w:rsidR="000029E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6EE54E54" w:rsidR="00CC3B0A" w:rsidRPr="00CC3B0A" w:rsidRDefault="00CC3B0A" w:rsidP="00C3338D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</w:t>
            </w:r>
            <w:r w:rsidR="00C3338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11E038A3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7529A436" w14:textId="77777777" w:rsidR="00C3338D" w:rsidRPr="00C3338D" w:rsidRDefault="00C3338D" w:rsidP="00C333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Земельный участок общей площадью 1500 кв. м, категория земель: земли населённых пунктов, вид разрешённого использования: для ведения личного подсобного хозяйства, кадастровый номер: 50:04:0090204:226, расположенный по адресу: установлено относительно ориентира, расположенного в границах участка. Почтовый адрес ориентира: обл. Московская, р- н Дмитровский, с/пос. </w:t>
            </w:r>
            <w:proofErr w:type="spellStart"/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Синьковское</w:t>
            </w:r>
            <w:proofErr w:type="spellEnd"/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д. Бунятино, ул. Центральная</w:t>
            </w:r>
            <w:r w:rsidRPr="00DA42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далее – Объект 1</w:t>
            </w:r>
            <w:r w:rsidRPr="00DA42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E71336F" w14:textId="598D9471" w:rsidR="00515F5D" w:rsidRDefault="00C3338D" w:rsidP="00C3338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Земельный участок общей площадью 500 кв. м, категория земель: земли населённых пунктов, вид разрешённого использования: для ведения личного подсобного хозяйства, кадастровый номер: 50:04:0090204:225, расположенный по адресу: установлено относительно ориентира, расположенного в границах участка. Почтовый адрес ориентира: обл. Московская, р-н Дмитровский, с/пос. </w:t>
            </w:r>
            <w:proofErr w:type="spellStart"/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Синьковское</w:t>
            </w:r>
            <w:proofErr w:type="spellEnd"/>
            <w:r w:rsidRPr="00C333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д. Бунятино, ул. Центральная (далее – Объект 2, при совместном упоминании Объекты);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6B09653C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43FF997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</w:t>
      </w:r>
      <w:proofErr w:type="spellStart"/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Объктов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Объекты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591796C2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Обязательства по Договору в части передачи </w:t>
      </w:r>
      <w:r w:rsidR="00C3338D">
        <w:rPr>
          <w:rFonts w:ascii="Verdana" w:eastAsia="Times New Roman" w:hAnsi="Verdana" w:cs="Times New Roman"/>
          <w:sz w:val="20"/>
          <w:szCs w:val="20"/>
          <w:lang w:eastAsia="ru-RU"/>
        </w:rPr>
        <w:t>Объектов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17838F2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lastRenderedPageBreak/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C97C62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0029EA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="000029EA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BE4CFA5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BB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D5413F"/>
    <w:multiLevelType w:val="hybridMultilevel"/>
    <w:tmpl w:val="2F2ACFB2"/>
    <w:lvl w:ilvl="0" w:tplc="F558C2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20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8"/>
  </w:num>
  <w:num w:numId="20">
    <w:abstractNumId w:val="21"/>
  </w:num>
  <w:num w:numId="21">
    <w:abstractNumId w:val="16"/>
  </w:num>
  <w:num w:numId="22">
    <w:abstractNumId w:val="17"/>
  </w:num>
  <w:num w:numId="23">
    <w:abstractNumId w:val="11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9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10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9EA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261E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2DBA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6B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99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1BD7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466D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2B4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A69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27BB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AA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352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687B"/>
    <w:rsid w:val="00AD709C"/>
    <w:rsid w:val="00AD7A5F"/>
    <w:rsid w:val="00AE3159"/>
    <w:rsid w:val="00AE3962"/>
    <w:rsid w:val="00AE475C"/>
    <w:rsid w:val="00AE4CE2"/>
    <w:rsid w:val="00AE4E45"/>
    <w:rsid w:val="00AF17D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2C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38D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221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197D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27D82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3B83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422A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3E1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4F93-7BE5-4C76-A3BA-C1B5E52F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27</cp:revision>
  <cp:lastPrinted>2021-06-24T12:42:00Z</cp:lastPrinted>
  <dcterms:created xsi:type="dcterms:W3CDTF">2021-03-25T06:03:00Z</dcterms:created>
  <dcterms:modified xsi:type="dcterms:W3CDTF">2021-12-10T09:24:00Z</dcterms:modified>
</cp:coreProperties>
</file>