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19EA01DC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</w:t>
      </w:r>
      <w:r w:rsidR="00495C5F">
        <w:rPr>
          <w:b/>
          <w:bCs/>
        </w:rPr>
        <w:t xml:space="preserve"> имущество, принадлежащее АО «Большой Уссурийский» на праве собственности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60CEAE3A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C70C2B">
        <w:rPr>
          <w:rFonts w:eastAsia="Times New Roman"/>
          <w:b/>
          <w:bCs/>
          <w:color w:val="0070C0"/>
        </w:rPr>
        <w:t>25 февраля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70C2B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11B80C0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C70C2B">
        <w:rPr>
          <w:b/>
          <w:bCs/>
          <w:color w:val="0070C0"/>
        </w:rPr>
        <w:t>20 декабря</w:t>
      </w:r>
      <w:r w:rsidR="008C2FF2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C70C2B">
        <w:rPr>
          <w:b/>
          <w:bCs/>
          <w:color w:val="0070C0"/>
        </w:rPr>
        <w:t>24 февраля</w:t>
      </w:r>
      <w:r w:rsidR="007321A5">
        <w:rPr>
          <w:b/>
          <w:bCs/>
          <w:color w:val="0070C0"/>
        </w:rPr>
        <w:t xml:space="preserve"> 202</w:t>
      </w:r>
      <w:r w:rsidR="00C70C2B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63A4FEB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C70C2B">
        <w:rPr>
          <w:b/>
          <w:bCs/>
          <w:color w:val="0070C0"/>
        </w:rPr>
        <w:t>24 февраля 2022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0E7B846F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C70C2B">
        <w:rPr>
          <w:b/>
          <w:bCs/>
          <w:color w:val="0070C0"/>
        </w:rPr>
        <w:t>24 февраля 2022</w:t>
      </w:r>
      <w:r w:rsidR="00C70C2B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239D22C5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495C5F">
        <w:rPr>
          <w:color w:val="000000"/>
        </w:rPr>
        <w:t>2</w:t>
      </w:r>
      <w:r>
        <w:rPr>
          <w:color w:val="000000"/>
        </w:rPr>
        <w:t xml:space="preserve">4) </w:t>
      </w:r>
      <w:r w:rsidR="00495C5F">
        <w:rPr>
          <w:color w:val="000000"/>
        </w:rPr>
        <w:t>003</w:t>
      </w:r>
      <w:r>
        <w:rPr>
          <w:color w:val="000000"/>
        </w:rPr>
        <w:t>-</w:t>
      </w:r>
      <w:r w:rsidR="002F5BA7">
        <w:rPr>
          <w:color w:val="000000"/>
        </w:rPr>
        <w:t>1</w:t>
      </w:r>
      <w:r w:rsidR="00495C5F">
        <w:rPr>
          <w:color w:val="000000"/>
        </w:rPr>
        <w:t>3</w:t>
      </w:r>
      <w:r>
        <w:rPr>
          <w:color w:val="000000"/>
        </w:rPr>
        <w:t>-1</w:t>
      </w:r>
      <w:r w:rsidR="00495C5F">
        <w:rPr>
          <w:color w:val="000000"/>
        </w:rPr>
        <w:t>2</w:t>
      </w:r>
      <w:r w:rsidRPr="00DE7CB9">
        <w:rPr>
          <w:rFonts w:eastAsia="Times New Roman"/>
        </w:rPr>
        <w:t xml:space="preserve">. Контактное лицо </w:t>
      </w:r>
      <w:r w:rsidR="00495C5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3288F78" w14:textId="01D431EB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sz w:val="24"/>
          <w:szCs w:val="24"/>
          <w:shd w:val="clear" w:color="auto" w:fill="FFFFFF"/>
        </w:rPr>
        <w:t>Земельный участок</w:t>
      </w:r>
      <w:r w:rsidRPr="00202185">
        <w:rPr>
          <w:rFonts w:ascii="Times New Roman" w:hAnsi="Times New Roman"/>
          <w:b/>
          <w:sz w:val="24"/>
          <w:szCs w:val="24"/>
        </w:rPr>
        <w:t>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2185">
        <w:rPr>
          <w:rFonts w:ascii="Times New Roman" w:hAnsi="Times New Roman"/>
          <w:sz w:val="24"/>
          <w:szCs w:val="24"/>
        </w:rPr>
        <w:t>общей площадью 183000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расположенный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участок 2 , с кадастровым номером: 27:17:0302701:4, категория земель: земли населенных пунктов, разрешенное использование: под подсобное хозяйство,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27:17:0302701:4-27/020/2019-3. Обременения – не зарегистрировано</w:t>
      </w:r>
      <w:r w:rsidRPr="00202185">
        <w:rPr>
          <w:rFonts w:ascii="Times New Roman" w:hAnsi="Times New Roman"/>
          <w:sz w:val="24"/>
          <w:szCs w:val="24"/>
        </w:rPr>
        <w:t>;</w:t>
      </w:r>
    </w:p>
    <w:p w14:paraId="3614B8D9" w14:textId="3F302DE7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Здание (Нежилое здание, Свинарник), </w:t>
      </w:r>
      <w:r w:rsidRPr="00202185">
        <w:rPr>
          <w:rFonts w:ascii="Times New Roman" w:hAnsi="Times New Roman"/>
          <w:sz w:val="24"/>
          <w:szCs w:val="24"/>
        </w:rPr>
        <w:t>общей площадью 1294,8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строение 2/2, с кадастровым номером: 27:17:0302701:240, этажность 1, год постройки - 1992,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27:17:0302701:240-27/020/2019-2. Обременения – не зарегистрировано</w:t>
      </w:r>
      <w:r w:rsidRPr="00202185">
        <w:rPr>
          <w:rFonts w:ascii="Times New Roman" w:hAnsi="Times New Roman"/>
          <w:sz w:val="24"/>
          <w:szCs w:val="24"/>
        </w:rPr>
        <w:t>;</w:t>
      </w:r>
    </w:p>
    <w:p w14:paraId="540436E5" w14:textId="4B599F55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Здание (Нежилое здание, Свинарник), </w:t>
      </w:r>
      <w:r w:rsidRPr="00202185">
        <w:rPr>
          <w:rFonts w:ascii="Times New Roman" w:hAnsi="Times New Roman"/>
          <w:sz w:val="24"/>
          <w:szCs w:val="24"/>
        </w:rPr>
        <w:t>общей площадью 1630,3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строение 2/1, с кадастровым номером: 27:17:0302701:235, этажность 1, год постройки - 1992,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27:17:0302701:235-27/020/2019-2. Обременения – не зарегистрировано</w:t>
      </w:r>
      <w:r w:rsidRPr="00202185">
        <w:rPr>
          <w:rFonts w:ascii="Times New Roman" w:hAnsi="Times New Roman"/>
          <w:sz w:val="24"/>
          <w:szCs w:val="24"/>
        </w:rPr>
        <w:t>;</w:t>
      </w:r>
    </w:p>
    <w:p w14:paraId="40BAD5C5" w14:textId="388B148C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Здание (Нежилое здание, Свинарник), </w:t>
      </w:r>
      <w:r w:rsidRPr="00202185">
        <w:rPr>
          <w:rFonts w:ascii="Times New Roman" w:hAnsi="Times New Roman"/>
          <w:sz w:val="24"/>
          <w:szCs w:val="24"/>
        </w:rPr>
        <w:t>общей площадью 1105,8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строение 2, с кадастровым номером: 27:17:0302701:215, этажность 1, год постройки - 1991,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</w:t>
      </w:r>
      <w:r w:rsidRPr="00202185">
        <w:rPr>
          <w:rFonts w:ascii="Times New Roman" w:hAnsi="Times New Roman"/>
          <w:sz w:val="24"/>
          <w:szCs w:val="24"/>
        </w:rPr>
        <w:lastRenderedPageBreak/>
        <w:t>недвижимое имущество и сделок с ним 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27:17:0302701:215-27/020/2019-2. Обременения – не зарегистрировано</w:t>
      </w:r>
      <w:r w:rsidRPr="00202185">
        <w:rPr>
          <w:rFonts w:ascii="Times New Roman" w:hAnsi="Times New Roman"/>
          <w:sz w:val="24"/>
          <w:szCs w:val="24"/>
        </w:rPr>
        <w:t>;</w:t>
      </w:r>
    </w:p>
    <w:p w14:paraId="5AA7B397" w14:textId="6E40BD32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Здание (Нежилое здание, административно-хозяйственное), </w:t>
      </w:r>
      <w:r w:rsidRPr="00202185">
        <w:rPr>
          <w:rFonts w:ascii="Times New Roman" w:hAnsi="Times New Roman"/>
          <w:sz w:val="24"/>
          <w:szCs w:val="24"/>
        </w:rPr>
        <w:t>общей площадью 102,7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д.2/1, с кадастровым номером: 27:17:0302701:234, этажность 1, год постройки - 1992,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27:17:0302701:234-27/020/2019-2. Обременения – не зарегистрировано</w:t>
      </w:r>
      <w:r w:rsidRPr="00202185">
        <w:rPr>
          <w:rFonts w:ascii="Times New Roman" w:hAnsi="Times New Roman"/>
          <w:sz w:val="24"/>
          <w:szCs w:val="24"/>
        </w:rPr>
        <w:t>;</w:t>
      </w:r>
    </w:p>
    <w:p w14:paraId="6EA19D91" w14:textId="76D7BCDC" w:rsidR="00495C5F" w:rsidRPr="00202185" w:rsidRDefault="00495C5F" w:rsidP="00495C5F">
      <w:pPr>
        <w:pStyle w:val="31"/>
        <w:shd w:val="clear" w:color="auto" w:fill="auto"/>
        <w:tabs>
          <w:tab w:val="left" w:leader="underscore" w:pos="4268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21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Здание (Нежилое здание, административно-хозяйственное), </w:t>
      </w:r>
      <w:r w:rsidRPr="00202185">
        <w:rPr>
          <w:rFonts w:ascii="Times New Roman" w:hAnsi="Times New Roman"/>
          <w:sz w:val="24"/>
          <w:szCs w:val="24"/>
        </w:rPr>
        <w:t>общей площадью 139,2 кв. м.,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расположенное по адресу: Россия, Хабаровский край, Хабаровский муниципальный район,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Галкинское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поселение, село </w:t>
      </w:r>
      <w:proofErr w:type="spellStart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>Смирновка</w:t>
      </w:r>
      <w:proofErr w:type="spellEnd"/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, улица Молодежная, д.2, с кадастровым номером: 27:17:0302701:211, этажность 1, год постройки - 1992, </w:t>
      </w:r>
      <w:r w:rsidRPr="00202185">
        <w:rPr>
          <w:rFonts w:ascii="Times New Roman" w:hAnsi="Times New Roman"/>
          <w:sz w:val="24"/>
          <w:szCs w:val="24"/>
        </w:rPr>
        <w:t xml:space="preserve">принадлежащее </w:t>
      </w:r>
      <w:r w:rsidRPr="00202185">
        <w:rPr>
          <w:rFonts w:ascii="Times New Roman" w:hAnsi="Times New Roman"/>
          <w:iCs/>
          <w:sz w:val="24"/>
          <w:szCs w:val="24"/>
        </w:rPr>
        <w:t>АО «Большой Уссурийский»</w:t>
      </w:r>
      <w:r w:rsidRPr="00202185">
        <w:rPr>
          <w:rFonts w:ascii="Times New Roman" w:hAnsi="Times New Roman"/>
          <w:sz w:val="24"/>
          <w:szCs w:val="24"/>
        </w:rPr>
        <w:t xml:space="preserve"> на праве собственности, о чем в Едином государственном реестре прав на недвижимое имущество и сделок с ним 19.04.2019г. сделана запись регистрации №</w:t>
      </w:r>
      <w:r w:rsidRPr="00202185">
        <w:rPr>
          <w:rFonts w:ascii="Times New Roman" w:hAnsi="Times New Roman"/>
          <w:sz w:val="24"/>
          <w:szCs w:val="24"/>
          <w:shd w:val="clear" w:color="auto" w:fill="FFFFFF"/>
        </w:rPr>
        <w:t xml:space="preserve"> 27:17:0302701:211-27/020/2019-2. Обременения – не зарегистрировано.</w:t>
      </w:r>
    </w:p>
    <w:p w14:paraId="4329D71B" w14:textId="77777777" w:rsidR="002E16F4" w:rsidRPr="00202185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17F016D7" w:rsidR="00F675EE" w:rsidRPr="00202185" w:rsidRDefault="00202185" w:rsidP="00F675EE">
      <w:pPr>
        <w:ind w:right="-57" w:firstLine="567"/>
        <w:jc w:val="both"/>
      </w:pPr>
      <w:r w:rsidRPr="00202185">
        <w:t xml:space="preserve">На момент </w:t>
      </w:r>
      <w:r w:rsidR="00F675EE" w:rsidRPr="00202185">
        <w:t>совершения</w:t>
      </w:r>
      <w:r w:rsidRPr="00202185">
        <w:t xml:space="preserve"> сделки</w:t>
      </w:r>
      <w:r w:rsidR="00F675EE" w:rsidRPr="00202185">
        <w:t xml:space="preserve"> </w:t>
      </w:r>
      <w:r w:rsidRPr="00202185">
        <w:t>Объекты никому не проданы, в споре или под арестом не состоят, не являются предметом залога, не обременены правами третьих лиц.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6E477C42" w14:textId="7215E322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C70C2B">
        <w:rPr>
          <w:b/>
          <w:bCs/>
          <w:color w:val="0070C0"/>
        </w:rPr>
        <w:t>5 801</w:t>
      </w:r>
      <w:r w:rsidR="00202185">
        <w:rPr>
          <w:b/>
          <w:bCs/>
          <w:color w:val="0070C0"/>
        </w:rPr>
        <w:t xml:space="preserve"> </w:t>
      </w:r>
      <w:r w:rsidR="00C70C2B">
        <w:rPr>
          <w:b/>
          <w:bCs/>
          <w:color w:val="0070C0"/>
        </w:rPr>
        <w:t>250</w:t>
      </w:r>
      <w:r w:rsidR="008C2FF2" w:rsidRPr="002E16F4">
        <w:rPr>
          <w:b/>
          <w:bCs/>
          <w:color w:val="0070C0"/>
        </w:rPr>
        <w:t xml:space="preserve"> (</w:t>
      </w:r>
      <w:r w:rsidR="00C70C2B">
        <w:rPr>
          <w:b/>
          <w:bCs/>
          <w:color w:val="0070C0"/>
        </w:rPr>
        <w:t xml:space="preserve">Пять </w:t>
      </w:r>
      <w:r w:rsidR="00202185">
        <w:rPr>
          <w:b/>
          <w:bCs/>
          <w:color w:val="0070C0"/>
        </w:rPr>
        <w:t xml:space="preserve">миллионов восемьсот </w:t>
      </w:r>
      <w:r w:rsidR="00C70C2B">
        <w:rPr>
          <w:b/>
          <w:bCs/>
          <w:color w:val="0070C0"/>
        </w:rPr>
        <w:t>одна тысяча двести пятьдесят</w:t>
      </w:r>
      <w:r w:rsidR="008C2FF2" w:rsidRPr="002E16F4">
        <w:rPr>
          <w:b/>
          <w:bCs/>
          <w:color w:val="0070C0"/>
        </w:rPr>
        <w:t>)</w:t>
      </w:r>
      <w:r w:rsidR="008C2FF2">
        <w:rPr>
          <w:b/>
          <w:bCs/>
          <w:color w:val="0070C0"/>
        </w:rPr>
        <w:t xml:space="preserve"> рублей 00 копеек, </w:t>
      </w:r>
      <w:r w:rsidR="00202185" w:rsidRPr="00202185">
        <w:t>в том числе</w:t>
      </w:r>
      <w:r w:rsidR="00202185" w:rsidRPr="00202185">
        <w:rPr>
          <w:b/>
          <w:bCs/>
        </w:rPr>
        <w:t xml:space="preserve"> </w:t>
      </w:r>
      <w:r w:rsidR="008C2FF2">
        <w:rPr>
          <w:bCs/>
        </w:rPr>
        <w:t xml:space="preserve">НДС </w:t>
      </w:r>
      <w:r w:rsidR="00202185">
        <w:rPr>
          <w:bCs/>
        </w:rPr>
        <w:t xml:space="preserve">(20%) в размере </w:t>
      </w:r>
      <w:r w:rsidR="009B77D8">
        <w:rPr>
          <w:bCs/>
        </w:rPr>
        <w:t xml:space="preserve">66 628 </w:t>
      </w:r>
      <w:r w:rsidR="00202185">
        <w:rPr>
          <w:bCs/>
        </w:rPr>
        <w:t>(</w:t>
      </w:r>
      <w:r w:rsidR="009B77D8">
        <w:rPr>
          <w:bCs/>
        </w:rPr>
        <w:t>Шестьдесят шесть тысяч шестьсот двадцать восемь</w:t>
      </w:r>
      <w:r w:rsidR="00202185">
        <w:rPr>
          <w:bCs/>
        </w:rPr>
        <w:t>) рублей 8</w:t>
      </w:r>
      <w:r w:rsidR="009B77D8">
        <w:rPr>
          <w:bCs/>
        </w:rPr>
        <w:t>4</w:t>
      </w:r>
      <w:r w:rsidR="00202185">
        <w:rPr>
          <w:bCs/>
        </w:rPr>
        <w:t xml:space="preserve"> копе</w:t>
      </w:r>
      <w:r w:rsidR="009B77D8">
        <w:rPr>
          <w:bCs/>
        </w:rPr>
        <w:t>йки</w:t>
      </w:r>
      <w:r w:rsidR="008C2FF2" w:rsidRPr="009B77D8">
        <w:t>.</w:t>
      </w:r>
      <w:r w:rsidR="008C2FF2">
        <w:rPr>
          <w:b/>
          <w:bCs/>
          <w:color w:val="0070C0"/>
        </w:rPr>
        <w:t xml:space="preserve"> </w:t>
      </w:r>
    </w:p>
    <w:p w14:paraId="4E42D3DB" w14:textId="35C343B5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B77D8">
        <w:rPr>
          <w:b/>
          <w:bCs/>
          <w:color w:val="0070C0"/>
        </w:rPr>
        <w:t xml:space="preserve">255 </w:t>
      </w:r>
      <w:r w:rsidR="000073FE" w:rsidRPr="00A5728B">
        <w:rPr>
          <w:b/>
          <w:bCs/>
          <w:color w:val="0070C0"/>
        </w:rPr>
        <w:t>000 (</w:t>
      </w:r>
      <w:r w:rsidR="009B77D8">
        <w:rPr>
          <w:b/>
          <w:bCs/>
          <w:color w:val="0070C0"/>
        </w:rPr>
        <w:t xml:space="preserve">Двести пятьдесят пять </w:t>
      </w:r>
      <w:r w:rsidR="00202185">
        <w:rPr>
          <w:b/>
          <w:bCs/>
          <w:color w:val="0070C0"/>
        </w:rPr>
        <w:t>тысяч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74C65744" w14:textId="4D002D13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>:</w:t>
      </w:r>
      <w:r w:rsidR="00202185">
        <w:rPr>
          <w:b/>
          <w:bCs/>
        </w:rPr>
        <w:t xml:space="preserve"> </w:t>
      </w:r>
      <w:r w:rsidR="009B77D8">
        <w:rPr>
          <w:b/>
          <w:bCs/>
          <w:color w:val="0070C0"/>
        </w:rPr>
        <w:t>5</w:t>
      </w:r>
      <w:r w:rsidR="00202185">
        <w:rPr>
          <w:b/>
          <w:bCs/>
          <w:color w:val="0070C0"/>
        </w:rPr>
        <w:t>5</w:t>
      </w:r>
      <w:r w:rsidR="008C2FF2">
        <w:rPr>
          <w:b/>
          <w:bCs/>
          <w:color w:val="0070C0"/>
        </w:rPr>
        <w:t xml:space="preserve"> </w:t>
      </w:r>
      <w:r w:rsidR="009B77D8">
        <w:rPr>
          <w:b/>
          <w:bCs/>
          <w:color w:val="0070C0"/>
        </w:rPr>
        <w:t>250</w:t>
      </w:r>
      <w:r w:rsidR="000073FE" w:rsidRPr="000073FE">
        <w:rPr>
          <w:b/>
          <w:bCs/>
          <w:color w:val="0070C0"/>
        </w:rPr>
        <w:t xml:space="preserve"> (</w:t>
      </w:r>
      <w:r w:rsidR="009B77D8">
        <w:rPr>
          <w:b/>
          <w:bCs/>
          <w:color w:val="0070C0"/>
        </w:rPr>
        <w:t>Пятьдесят пять тысяч двести пятьдесят</w:t>
      </w:r>
      <w:r w:rsidR="008C2FF2">
        <w:rPr>
          <w:b/>
          <w:bCs/>
          <w:color w:val="0070C0"/>
        </w:rPr>
        <w:t>)</w:t>
      </w:r>
      <w:r w:rsidR="000073FE" w:rsidRPr="000073FE">
        <w:rPr>
          <w:b/>
          <w:bCs/>
          <w:color w:val="0070C0"/>
        </w:rPr>
        <w:t xml:space="preserve"> рублей</w:t>
      </w:r>
      <w:r w:rsidR="002E16F4">
        <w:rPr>
          <w:b/>
          <w:bCs/>
          <w:color w:val="0070C0"/>
        </w:rPr>
        <w:t xml:space="preserve"> 00 копеек</w:t>
      </w:r>
      <w:r w:rsidR="009B77D8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44084F8D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202185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0DCEA415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70C2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24</w:t>
      </w:r>
      <w:proofErr w:type="gramEnd"/>
      <w:r w:rsidR="002F5BA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70C2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февраля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C70C2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577C4D15" w:rsidR="00725EC7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4ABB8850" w14:textId="6C1A72C1" w:rsidR="00E34EA8" w:rsidRPr="00E34EA8" w:rsidRDefault="00E34EA8" w:rsidP="00E34EA8">
      <w:pPr>
        <w:ind w:firstLine="567"/>
        <w:jc w:val="both"/>
        <w:rPr>
          <w:u w:val="single"/>
        </w:rPr>
      </w:pPr>
      <w:r w:rsidRPr="00E34EA8">
        <w:rPr>
          <w:u w:val="single"/>
        </w:rPr>
        <w:t>Помимо уплаты задатка претенденту необходимо приложить к заявке подписанное соглашение об уплате вознаграждения Организатору аукциона. Вознаграждение Организатора аукциона не входит в стоимость Лота и выплачивается Претендентом сверх цены продажи Лота в случае признания Претендента Победителем аукциона.</w:t>
      </w:r>
    </w:p>
    <w:p w14:paraId="17693D1B" w14:textId="77777777" w:rsidR="00E34EA8" w:rsidRPr="00E34EA8" w:rsidRDefault="00E34EA8" w:rsidP="00E34EA8">
      <w:pPr>
        <w:ind w:firstLine="567"/>
        <w:jc w:val="both"/>
        <w:rPr>
          <w:u w:val="single"/>
        </w:rPr>
      </w:pPr>
      <w:r w:rsidRPr="00E34EA8">
        <w:rPr>
          <w:u w:val="single"/>
        </w:rPr>
        <w:t>Вознаграждение Организатора аукциона составляет 5% (пять процентов), в том числе НДС 20%, от цены продажи Лота, определенной по итогам аукциона.</w:t>
      </w:r>
    </w:p>
    <w:p w14:paraId="56A5F206" w14:textId="3B59F8B2" w:rsidR="00E34EA8" w:rsidRPr="00F30D8B" w:rsidRDefault="00E34EA8" w:rsidP="00D578E4">
      <w:pPr>
        <w:ind w:firstLine="567"/>
        <w:jc w:val="both"/>
      </w:pP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</w:t>
      </w:r>
      <w:r w:rsidRPr="00F30D8B">
        <w:lastRenderedPageBreak/>
        <w:t>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5C30979E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C70C2B">
        <w:rPr>
          <w:b/>
          <w:bCs/>
          <w:color w:val="0070C0"/>
          <w:u w:val="single"/>
        </w:rPr>
        <w:t>20</w:t>
      </w:r>
      <w:r w:rsidR="007321A5">
        <w:rPr>
          <w:b/>
          <w:bCs/>
          <w:color w:val="0070C0"/>
          <w:u w:val="single"/>
        </w:rPr>
        <w:t xml:space="preserve"> </w:t>
      </w:r>
      <w:r w:rsidR="00C70C2B">
        <w:rPr>
          <w:b/>
          <w:bCs/>
          <w:color w:val="0070C0"/>
          <w:u w:val="single"/>
        </w:rPr>
        <w:t>декабря</w:t>
      </w:r>
      <w:r w:rsidR="008C2FF2">
        <w:rPr>
          <w:b/>
          <w:bCs/>
          <w:color w:val="0070C0"/>
          <w:u w:val="single"/>
        </w:rPr>
        <w:t xml:space="preserve"> </w:t>
      </w:r>
      <w:r w:rsidR="000073FE" w:rsidRPr="000073FE">
        <w:rPr>
          <w:b/>
          <w:bCs/>
          <w:color w:val="0070C0"/>
          <w:u w:val="single"/>
        </w:rPr>
        <w:t>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BBDB64F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8C2FF2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 xml:space="preserve">время проведения торгов определяется в следующем порядке, если в течение одного часа с момента начала представления предложений о цене не </w:t>
      </w:r>
      <w:r w:rsidRPr="00F30D8B">
        <w:lastRenderedPageBreak/>
        <w:t>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не было подано ни одной заявки на участие в аукцион</w:t>
      </w:r>
      <w:r w:rsidR="009B5C21" w:rsidRPr="003C4E99">
        <w:rPr>
          <w:b/>
          <w:bCs/>
        </w:rPr>
        <w:t xml:space="preserve">е </w:t>
      </w:r>
      <w:r w:rsidRPr="003C4E99">
        <w:rPr>
          <w:b/>
          <w:bCs/>
        </w:rPr>
        <w:t>либо ни один из Претендентов не признан Участником аукциона;</w:t>
      </w:r>
    </w:p>
    <w:p w14:paraId="0A2F4843" w14:textId="77777777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к участию в аукционе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допущен только один</w:t>
      </w:r>
      <w:r w:rsidR="00D1796F" w:rsidRPr="003C4E99">
        <w:rPr>
          <w:b/>
          <w:bCs/>
        </w:rPr>
        <w:t xml:space="preserve"> </w:t>
      </w:r>
      <w:r w:rsidRPr="003C4E99">
        <w:rPr>
          <w:b/>
          <w:bCs/>
        </w:rPr>
        <w:t>Претендент;</w:t>
      </w:r>
    </w:p>
    <w:p w14:paraId="52F3F5ED" w14:textId="240F2B0A" w:rsidR="009B7593" w:rsidRPr="003C4E99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ни один из Участников аукциона не сделал предложения по начальной цене имущества</w:t>
      </w:r>
      <w:r w:rsidR="003C4E99">
        <w:rPr>
          <w:b/>
          <w:bCs/>
        </w:rPr>
        <w:t>;</w:t>
      </w:r>
    </w:p>
    <w:p w14:paraId="6C3D4EF9" w14:textId="65EBB7B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заявки на участие в торгах подали менее двух лиц;</w:t>
      </w:r>
    </w:p>
    <w:p w14:paraId="070BA1F1" w14:textId="680CABE2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на торги не явились участники торгов либо явился один участник торгов;</w:t>
      </w:r>
    </w:p>
    <w:p w14:paraId="64505B36" w14:textId="26951E41" w:rsidR="003C4E99" w:rsidRPr="003C4E99" w:rsidRDefault="003C4E99" w:rsidP="003C4E99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  <w:rPr>
          <w:b/>
          <w:bCs/>
        </w:rPr>
      </w:pPr>
      <w:r w:rsidRPr="003C4E99">
        <w:rPr>
          <w:b/>
          <w:bCs/>
        </w:rPr>
        <w:t>из явившихся участников торгов никто не сделал надбавки к начальной цене имущества</w:t>
      </w:r>
      <w:r>
        <w:rPr>
          <w:b/>
          <w:bCs/>
        </w:rPr>
        <w:t>.</w:t>
      </w:r>
    </w:p>
    <w:p w14:paraId="26CB9C70" w14:textId="77777777" w:rsidR="003C4E99" w:rsidRPr="00F30D8B" w:rsidRDefault="003C4E99" w:rsidP="003C4E99">
      <w:pPr>
        <w:autoSpaceDE w:val="0"/>
        <w:autoSpaceDN w:val="0"/>
        <w:adjustRightInd w:val="0"/>
        <w:jc w:val="both"/>
        <w:outlineLvl w:val="1"/>
      </w:pP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07D3C09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</w:t>
      </w:r>
      <w:r w:rsidR="006419F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между продавцами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пятнадцати</w:t>
      </w:r>
      <w:r w:rsidR="007A1681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дней</w:t>
      </w:r>
      <w:r w:rsidR="00A963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но не ранее чем через 10 (десять) дней с даты подведения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0666A9B" w14:textId="02093DE5" w:rsidR="006B31F4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A963D7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7A16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>(</w:t>
      </w:r>
      <w:r w:rsidR="00A963D7">
        <w:rPr>
          <w:rFonts w:ascii="Times New Roman" w:hAnsi="Times New Roman" w:cs="Times New Roman"/>
          <w:b/>
          <w:color w:val="auto"/>
          <w:sz w:val="22"/>
          <w:szCs w:val="22"/>
        </w:rPr>
        <w:t>пяти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="006B31F4"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дн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ей</w:t>
      </w:r>
      <w:r w:rsidR="00E10CE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 момента под</w:t>
      </w:r>
      <w:r w:rsidR="002F5BA7">
        <w:rPr>
          <w:rFonts w:ascii="Times New Roman" w:hAnsi="Times New Roman" w:cs="Times New Roman"/>
          <w:b/>
          <w:color w:val="auto"/>
          <w:sz w:val="22"/>
          <w:szCs w:val="22"/>
        </w:rPr>
        <w:t>ведения итогов аукциона</w:t>
      </w:r>
      <w:r w:rsidR="00A963D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0D5C" w14:textId="77777777" w:rsidR="00E35A0F" w:rsidRDefault="00E35A0F" w:rsidP="008C3E4E">
      <w:r>
        <w:separator/>
      </w:r>
    </w:p>
  </w:endnote>
  <w:endnote w:type="continuationSeparator" w:id="0">
    <w:p w14:paraId="47DCF513" w14:textId="77777777" w:rsidR="00E35A0F" w:rsidRDefault="00E35A0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82AB" w14:textId="77777777" w:rsidR="00E35A0F" w:rsidRDefault="00E35A0F" w:rsidP="008C3E4E">
      <w:r>
        <w:separator/>
      </w:r>
    </w:p>
  </w:footnote>
  <w:footnote w:type="continuationSeparator" w:id="0">
    <w:p w14:paraId="5C1FE18C" w14:textId="77777777" w:rsidR="00E35A0F" w:rsidRDefault="00E35A0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0"/>
  </w:num>
  <w:num w:numId="5">
    <w:abstractNumId w:val="23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4"/>
  </w:num>
  <w:num w:numId="22">
    <w:abstractNumId w:val="11"/>
  </w:num>
  <w:num w:numId="23">
    <w:abstractNumId w:val="22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2185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C4E99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C5F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191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B77D8"/>
    <w:rsid w:val="009C059F"/>
    <w:rsid w:val="009C2916"/>
    <w:rsid w:val="009C565B"/>
    <w:rsid w:val="009C6BFB"/>
    <w:rsid w:val="009D0A8F"/>
    <w:rsid w:val="009D1B2D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963D7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C2B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E3E34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4342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16206"/>
    <w:rsid w:val="00E2163C"/>
    <w:rsid w:val="00E22C15"/>
    <w:rsid w:val="00E24306"/>
    <w:rsid w:val="00E34EA8"/>
    <w:rsid w:val="00E34EFA"/>
    <w:rsid w:val="00E35A0F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21B6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customStyle="1" w:styleId="af4">
    <w:name w:val="Основной текст_"/>
    <w:link w:val="31"/>
    <w:rsid w:val="00495C5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95C5F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/>
      <w:sz w:val="19"/>
      <w:szCs w:val="19"/>
    </w:rPr>
  </w:style>
  <w:style w:type="paragraph" w:styleId="af5">
    <w:name w:val="Body Text Indent"/>
    <w:basedOn w:val="a"/>
    <w:link w:val="af6"/>
    <w:semiHidden/>
    <w:unhideWhenUsed/>
    <w:rsid w:val="003C4E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C4E99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E34E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34E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20697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24</cp:revision>
  <cp:lastPrinted>2021-10-14T05:42:00Z</cp:lastPrinted>
  <dcterms:created xsi:type="dcterms:W3CDTF">2021-01-28T06:41:00Z</dcterms:created>
  <dcterms:modified xsi:type="dcterms:W3CDTF">2021-12-14T06:15:00Z</dcterms:modified>
</cp:coreProperties>
</file>