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35536EDD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Pr="00AF5459">
        <w:rPr>
          <w:rFonts w:ascii="Arial Narrow" w:hAnsi="Arial Narrow"/>
          <w:b/>
          <w:bCs/>
          <w:sz w:val="24"/>
          <w:szCs w:val="24"/>
        </w:rPr>
        <w:t>40701810402000000343</w:t>
      </w:r>
      <w:r w:rsidRPr="00AF5459">
        <w:rPr>
          <w:rFonts w:ascii="Arial Narrow" w:hAnsi="Arial Narrow"/>
          <w:sz w:val="24"/>
          <w:szCs w:val="24"/>
        </w:rPr>
        <w:t xml:space="preserve"> в Ярославский филиал ПАО "Промсвязьбанк", БИК: </w:t>
      </w:r>
      <w:r w:rsidRPr="00AF5459">
        <w:rPr>
          <w:rFonts w:ascii="Arial Narrow" w:hAnsi="Arial Narrow"/>
          <w:b/>
          <w:bCs/>
          <w:sz w:val="24"/>
          <w:szCs w:val="24"/>
        </w:rPr>
        <w:t>044525555</w:t>
      </w:r>
      <w:r w:rsidRPr="00AF5459">
        <w:rPr>
          <w:rFonts w:ascii="Arial Narrow" w:hAnsi="Arial Narrow"/>
          <w:sz w:val="24"/>
          <w:szCs w:val="24"/>
        </w:rPr>
        <w:t xml:space="preserve">, к/с 30101810400000000555,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</w:t>
      </w:r>
      <w:r w:rsidRPr="00AF5459">
        <w:rPr>
          <w:b w:val="0"/>
          <w:i w:val="0"/>
          <w:sz w:val="24"/>
          <w:szCs w:val="24"/>
        </w:rPr>
        <w:lastRenderedPageBreak/>
        <w:t xml:space="preserve">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302B" w14:textId="77777777" w:rsidR="0036464B" w:rsidRDefault="0036464B" w:rsidP="00A102C3">
      <w:pPr>
        <w:spacing w:after="0" w:line="240" w:lineRule="auto"/>
      </w:pPr>
      <w:r>
        <w:separator/>
      </w:r>
    </w:p>
  </w:endnote>
  <w:endnote w:type="continuationSeparator" w:id="0">
    <w:p w14:paraId="0EB4E5B7" w14:textId="77777777" w:rsidR="0036464B" w:rsidRDefault="0036464B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D275" w14:textId="77777777" w:rsidR="0036464B" w:rsidRDefault="0036464B" w:rsidP="00A102C3">
      <w:pPr>
        <w:spacing w:after="0" w:line="240" w:lineRule="auto"/>
      </w:pPr>
      <w:r>
        <w:separator/>
      </w:r>
    </w:p>
  </w:footnote>
  <w:footnote w:type="continuationSeparator" w:id="0">
    <w:p w14:paraId="3BFDF824" w14:textId="77777777" w:rsidR="0036464B" w:rsidRDefault="0036464B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C7805"/>
    <w:rsid w:val="00257F9D"/>
    <w:rsid w:val="00363435"/>
    <w:rsid w:val="00715315"/>
    <w:rsid w:val="00735B73"/>
    <w:rsid w:val="00B22FD0"/>
    <w:rsid w:val="00C554A3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22</cp:revision>
  <dcterms:created xsi:type="dcterms:W3CDTF">2016-02-08T13:10:00Z</dcterms:created>
  <dcterms:modified xsi:type="dcterms:W3CDTF">2021-12-16T11:21:00Z</dcterms:modified>
</cp:coreProperties>
</file>