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FE719A" w:rsidRDefault="00123209" w:rsidP="00F56FF3">
      <w:pPr>
        <w:pStyle w:val="a3"/>
        <w:rPr>
          <w:rFonts w:ascii="Verdana" w:hAnsi="Verdana"/>
          <w:b/>
          <w:sz w:val="20"/>
          <w:lang w:val="en-US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7A20A0E4" w:rsidR="001D7929" w:rsidRPr="00224F8A" w:rsidRDefault="00D74B8B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(ПАО)</w:t>
      </w:r>
      <w:r w:rsidR="001D7929" w:rsidRPr="00224F8A">
        <w:rPr>
          <w:rFonts w:ascii="Verdana" w:hAnsi="Verdana"/>
          <w:b/>
          <w:sz w:val="20"/>
        </w:rPr>
        <w:t>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832CD4A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1138E3">
        <w:rPr>
          <w:rFonts w:ascii="Verdana" w:eastAsia="Times New Roman" w:hAnsi="Verdana" w:cs="Times New Roman"/>
          <w:b/>
          <w:sz w:val="20"/>
          <w:szCs w:val="20"/>
          <w:lang w:eastAsia="ru-RU"/>
        </w:rPr>
        <w:t>22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0629BA9" w14:textId="77777777" w:rsidR="00CC04E1" w:rsidRPr="00CC04E1" w:rsidRDefault="00CC04E1" w:rsidP="00CC04E1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CC04E1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CC04E1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CC04E1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CC04E1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CC04E1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9914BE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23B55431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CC3B0A">
              <w:tc>
                <w:tcPr>
                  <w:tcW w:w="6969" w:type="dxa"/>
                </w:tcPr>
                <w:p w14:paraId="7B7835CF" w14:textId="7E6BA23B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A6AFB" w:rsidRPr="00224F8A" w14:paraId="3820BB98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9FD7A5" w14:textId="06F14B8A" w:rsidR="005A6AFB" w:rsidRPr="00224F8A" w:rsidRDefault="005A6AFB" w:rsidP="005A6AFB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28544D" w:rsidRPr="008509DF" w:rsidRDefault="007805C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28544D" w:rsidRPr="008509DF" w:rsidRDefault="0028544D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02F19D89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23EEB71" w14:textId="2CD321D7" w:rsidR="00CC04E1" w:rsidRPr="00E438B3" w:rsidRDefault="00485117" w:rsidP="00EA34EC">
      <w:pPr>
        <w:pStyle w:val="ConsNormal"/>
        <w:widowControl/>
        <w:tabs>
          <w:tab w:val="left" w:pos="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1.1.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</w:t>
      </w:r>
      <w:r w:rsidR="00CC04E1">
        <w:rPr>
          <w:rFonts w:ascii="Verdana" w:hAnsi="Verdana" w:cs="Times New Roman"/>
        </w:rPr>
        <w:t>атить: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C04E1" w:rsidRPr="00645BF6" w14:paraId="3ACD1F43" w14:textId="77777777" w:rsidTr="00CC04E1">
        <w:tc>
          <w:tcPr>
            <w:tcW w:w="9498" w:type="dxa"/>
          </w:tcPr>
          <w:p w14:paraId="11CA02A4" w14:textId="3B1D4579" w:rsidR="002C1A48" w:rsidRPr="002C1A48" w:rsidRDefault="00024D91" w:rsidP="001138E3">
            <w:pPr>
              <w:pStyle w:val="a5"/>
              <w:ind w:left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color w:val="000000" w:themeColor="text1"/>
              </w:rPr>
              <w:t>Здание, н</w:t>
            </w:r>
            <w:r w:rsidR="00FD5E57">
              <w:rPr>
                <w:rFonts w:ascii="Verdana" w:hAnsi="Verdana"/>
                <w:color w:val="000000" w:themeColor="text1"/>
              </w:rPr>
              <w:t xml:space="preserve">азначение: </w:t>
            </w:r>
            <w:r w:rsidR="002C1A48">
              <w:rPr>
                <w:rFonts w:ascii="Verdana" w:hAnsi="Verdana"/>
                <w:color w:val="000000" w:themeColor="text1"/>
              </w:rPr>
              <w:t>нежилое</w:t>
            </w:r>
            <w:r w:rsidR="00FD5E57">
              <w:rPr>
                <w:rFonts w:ascii="Verdana" w:hAnsi="Verdana"/>
                <w:color w:val="000000" w:themeColor="text1"/>
              </w:rPr>
              <w:t xml:space="preserve"> </w:t>
            </w:r>
            <w:r w:rsidR="002C1A48">
              <w:rPr>
                <w:rFonts w:ascii="Verdana" w:hAnsi="Verdana"/>
                <w:color w:val="000000" w:themeColor="text1"/>
              </w:rPr>
              <w:t>здание</w:t>
            </w:r>
            <w:r w:rsidR="00CC04E1" w:rsidRPr="00E438B3">
              <w:rPr>
                <w:rFonts w:ascii="Verdana" w:hAnsi="Verdana"/>
                <w:color w:val="000000" w:themeColor="text1"/>
              </w:rPr>
              <w:t>,</w:t>
            </w:r>
            <w:r w:rsidR="00FD5E57">
              <w:rPr>
                <w:rFonts w:ascii="Verdana" w:hAnsi="Verdana"/>
                <w:color w:val="000000" w:themeColor="text1"/>
              </w:rPr>
              <w:t xml:space="preserve"> </w:t>
            </w:r>
            <w:r w:rsidR="00CC04E1" w:rsidRPr="00E438B3">
              <w:rPr>
                <w:rFonts w:ascii="Verdana" w:hAnsi="Verdana"/>
                <w:color w:val="000000" w:themeColor="text1"/>
              </w:rPr>
              <w:t xml:space="preserve">кадастровый номер </w:t>
            </w:r>
            <w:r w:rsidR="002C1A48" w:rsidRPr="002C1A48">
              <w:rPr>
                <w:rFonts w:ascii="Verdana" w:hAnsi="Verdana"/>
                <w:color w:val="000000" w:themeColor="text1"/>
              </w:rPr>
              <w:t>16:39:041701:322</w:t>
            </w:r>
            <w:r w:rsidR="00CC04E1" w:rsidRPr="00E438B3">
              <w:rPr>
                <w:rFonts w:ascii="Verdana" w:hAnsi="Verdana"/>
                <w:color w:val="000000" w:themeColor="text1"/>
              </w:rPr>
              <w:t>,</w:t>
            </w:r>
            <w:r w:rsidR="00FD5E57">
              <w:rPr>
                <w:rFonts w:ascii="Verdana" w:hAnsi="Verdana"/>
                <w:color w:val="4F81BD" w:themeColor="accent1"/>
              </w:rPr>
              <w:t xml:space="preserve"> </w:t>
            </w:r>
            <w:r w:rsidR="00CC04E1" w:rsidRPr="00E438B3">
              <w:rPr>
                <w:rFonts w:ascii="Verdana" w:hAnsi="Verdana"/>
                <w:color w:val="000000" w:themeColor="text1"/>
              </w:rPr>
              <w:t>общей площадью</w:t>
            </w:r>
            <w:r w:rsidR="00CC04E1" w:rsidRPr="00E438B3">
              <w:rPr>
                <w:rFonts w:ascii="Verdana" w:hAnsi="Verdana"/>
                <w:color w:val="4F81BD" w:themeColor="accent1"/>
              </w:rPr>
              <w:t xml:space="preserve"> </w:t>
            </w:r>
            <w:r w:rsidR="002C1A48" w:rsidRPr="002C1A48">
              <w:rPr>
                <w:rFonts w:ascii="Verdana" w:hAnsi="Verdana"/>
                <w:color w:val="000000" w:themeColor="text1"/>
              </w:rPr>
              <w:t>949,6</w:t>
            </w:r>
            <w:r w:rsidR="002C1A48">
              <w:rPr>
                <w:rFonts w:ascii="Verdana" w:hAnsi="Verdana"/>
                <w:color w:val="000000" w:themeColor="text1"/>
              </w:rPr>
              <w:t xml:space="preserve"> </w:t>
            </w:r>
            <w:proofErr w:type="spellStart"/>
            <w:r w:rsidR="00CC04E1" w:rsidRPr="00E438B3"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 w:rsidR="00CC04E1" w:rsidRPr="00E438B3">
              <w:rPr>
                <w:rFonts w:ascii="Verdana" w:hAnsi="Verdana"/>
                <w:color w:val="000000" w:themeColor="text1"/>
              </w:rPr>
              <w:t xml:space="preserve">., </w:t>
            </w:r>
            <w:r w:rsidR="00CC04E1" w:rsidRPr="00E438B3">
              <w:rPr>
                <w:rFonts w:ascii="Verdana" w:hAnsi="Verdana"/>
              </w:rPr>
              <w:t>адрес (местонахождение</w:t>
            </w:r>
            <w:r w:rsidR="00CC04E1" w:rsidRPr="00E438B3">
              <w:rPr>
                <w:rFonts w:ascii="Verdana" w:hAnsi="Verdana"/>
                <w:color w:val="000000" w:themeColor="text1"/>
              </w:rPr>
              <w:t xml:space="preserve">): </w:t>
            </w:r>
            <w:r w:rsidR="002C1A48" w:rsidRPr="002C1A48">
              <w:rPr>
                <w:rFonts w:ascii="Verdana" w:hAnsi="Verdana"/>
                <w:color w:val="000000" w:themeColor="text1"/>
              </w:rPr>
              <w:t xml:space="preserve">Республика Татарстан, </w:t>
            </w:r>
            <w:proofErr w:type="spellStart"/>
            <w:r w:rsidR="002C1A48" w:rsidRPr="002C1A48">
              <w:rPr>
                <w:rFonts w:ascii="Verdana" w:hAnsi="Verdana"/>
                <w:color w:val="000000" w:themeColor="text1"/>
              </w:rPr>
              <w:t>Тукаевский</w:t>
            </w:r>
            <w:proofErr w:type="spellEnd"/>
            <w:r w:rsidR="002C1A48" w:rsidRPr="002C1A48">
              <w:rPr>
                <w:rFonts w:ascii="Verdana" w:hAnsi="Verdana"/>
                <w:color w:val="000000" w:themeColor="text1"/>
              </w:rPr>
              <w:t xml:space="preserve"> </w:t>
            </w:r>
            <w:r w:rsidR="00411976">
              <w:rPr>
                <w:rFonts w:ascii="Verdana" w:hAnsi="Verdana"/>
                <w:color w:val="000000" w:themeColor="text1"/>
              </w:rPr>
              <w:t xml:space="preserve">муниципальный </w:t>
            </w:r>
            <w:r w:rsidR="002C1A48" w:rsidRPr="002C1A48">
              <w:rPr>
                <w:rFonts w:ascii="Verdana" w:hAnsi="Verdana"/>
                <w:color w:val="000000" w:themeColor="text1"/>
              </w:rPr>
              <w:t xml:space="preserve">район, </w:t>
            </w:r>
            <w:proofErr w:type="spellStart"/>
            <w:r w:rsidR="007C6115" w:rsidRPr="002C1A48">
              <w:rPr>
                <w:rFonts w:ascii="Verdana" w:hAnsi="Verdana"/>
                <w:color w:val="000000" w:themeColor="text1"/>
              </w:rPr>
              <w:t>Бетькинск</w:t>
            </w:r>
            <w:r w:rsidR="007C6115">
              <w:rPr>
                <w:rFonts w:ascii="Verdana" w:hAnsi="Verdana"/>
                <w:color w:val="000000" w:themeColor="text1"/>
              </w:rPr>
              <w:t>ое</w:t>
            </w:r>
            <w:proofErr w:type="spellEnd"/>
            <w:r w:rsidR="007C6115" w:rsidRPr="002C1A48">
              <w:rPr>
                <w:rFonts w:ascii="Verdana" w:hAnsi="Verdana"/>
                <w:color w:val="000000" w:themeColor="text1"/>
              </w:rPr>
              <w:t xml:space="preserve"> </w:t>
            </w:r>
            <w:r w:rsidR="007C6115">
              <w:rPr>
                <w:rFonts w:ascii="Verdana" w:hAnsi="Verdana"/>
                <w:color w:val="000000" w:themeColor="text1"/>
              </w:rPr>
              <w:t>сельское поселение</w:t>
            </w:r>
            <w:r w:rsidR="002C1A48" w:rsidRPr="002C1A48">
              <w:rPr>
                <w:rFonts w:ascii="Verdana" w:hAnsi="Verdana"/>
                <w:color w:val="000000" w:themeColor="text1"/>
              </w:rPr>
              <w:t xml:space="preserve">, п. Кама, </w:t>
            </w:r>
            <w:r w:rsidR="007C6115">
              <w:rPr>
                <w:rFonts w:ascii="Verdana" w:hAnsi="Verdana"/>
                <w:color w:val="000000" w:themeColor="text1"/>
              </w:rPr>
              <w:t>авторынок «Кама»</w:t>
            </w:r>
            <w:r w:rsidR="00FD5E57">
              <w:rPr>
                <w:rFonts w:ascii="Verdana" w:hAnsi="Verdana"/>
                <w:color w:val="000000" w:themeColor="text1"/>
              </w:rPr>
              <w:t>,</w:t>
            </w:r>
            <w:r w:rsidR="00FD5E57" w:rsidRPr="00E438B3">
              <w:rPr>
                <w:rFonts w:ascii="Verdana" w:hAnsi="Verdana"/>
                <w:color w:val="000000" w:themeColor="text1"/>
              </w:rPr>
              <w:t xml:space="preserve"> </w:t>
            </w:r>
            <w:r w:rsidRPr="008509DF">
              <w:rPr>
                <w:rFonts w:ascii="Verdana" w:hAnsi="Verdana"/>
              </w:rPr>
              <w:t>(далее именуемое – «недвижимое имущество»)</w:t>
            </w:r>
            <w:r>
              <w:rPr>
                <w:rFonts w:ascii="Verdana" w:hAnsi="Verdana"/>
              </w:rPr>
              <w:t xml:space="preserve">, </w:t>
            </w:r>
            <w:r w:rsidR="00FD5E57" w:rsidRPr="00E438B3">
              <w:rPr>
                <w:rFonts w:ascii="Verdana" w:hAnsi="Verdana"/>
                <w:color w:val="000000" w:themeColor="text1"/>
              </w:rPr>
              <w:t>расположенное</w:t>
            </w:r>
            <w:r w:rsidR="00E438B3" w:rsidRPr="00E438B3">
              <w:rPr>
                <w:rFonts w:ascii="Verdana" w:hAnsi="Verdana"/>
              </w:rPr>
              <w:t xml:space="preserve"> </w:t>
            </w:r>
            <w:r w:rsidR="00CC04E1" w:rsidRPr="00E438B3">
              <w:rPr>
                <w:rFonts w:ascii="Verdana" w:hAnsi="Verdana"/>
              </w:rPr>
              <w:t xml:space="preserve">на земельном участке с кадастровым номером </w:t>
            </w:r>
            <w:r w:rsidR="00CC04E1" w:rsidRPr="00E438B3">
              <w:rPr>
                <w:rFonts w:ascii="Verdana" w:hAnsi="Verdana"/>
                <w:color w:val="000000" w:themeColor="text1"/>
              </w:rPr>
              <w:t xml:space="preserve">№ </w:t>
            </w:r>
            <w:r w:rsidR="0093204D" w:rsidRPr="0093204D">
              <w:rPr>
                <w:rFonts w:ascii="Verdana" w:hAnsi="Verdana"/>
                <w:color w:val="000000" w:themeColor="text1"/>
              </w:rPr>
              <w:t>16:39:041701:15</w:t>
            </w:r>
            <w:r w:rsidR="00CC04E1" w:rsidRPr="00E438B3">
              <w:rPr>
                <w:rFonts w:ascii="Verdana" w:hAnsi="Verdana"/>
                <w:color w:val="000000" w:themeColor="text1"/>
              </w:rPr>
              <w:t xml:space="preserve">, площадью </w:t>
            </w:r>
            <w:r w:rsidR="002C1A48" w:rsidRPr="002C1A48">
              <w:rPr>
                <w:rFonts w:ascii="Verdana" w:hAnsi="Verdana"/>
                <w:color w:val="000000" w:themeColor="text1"/>
              </w:rPr>
              <w:t>1 224 +/- 24</w:t>
            </w:r>
            <w:r w:rsidR="00E438B3" w:rsidRPr="00E438B3">
              <w:rPr>
                <w:rFonts w:ascii="Verdana" w:hAnsi="Verdana"/>
                <w:color w:val="000000" w:themeColor="text1"/>
              </w:rPr>
              <w:t xml:space="preserve"> </w:t>
            </w:r>
            <w:proofErr w:type="spellStart"/>
            <w:r w:rsidR="002C1A48">
              <w:rPr>
                <w:rFonts w:ascii="Verdana" w:hAnsi="Verdana"/>
                <w:color w:val="000000" w:themeColor="text1"/>
              </w:rPr>
              <w:t>кв.м</w:t>
            </w:r>
            <w:proofErr w:type="spellEnd"/>
            <w:r w:rsidR="002C1A48">
              <w:rPr>
                <w:rFonts w:ascii="Verdana" w:hAnsi="Verdana"/>
                <w:color w:val="000000" w:themeColor="text1"/>
              </w:rPr>
              <w:t>.</w:t>
            </w:r>
            <w:r>
              <w:rPr>
                <w:rFonts w:ascii="Verdana" w:hAnsi="Verdana"/>
                <w:color w:val="000000" w:themeColor="text1"/>
              </w:rPr>
              <w:t>,</w:t>
            </w:r>
          </w:p>
          <w:p w14:paraId="6B0C30E0" w14:textId="77777777" w:rsidR="002C1A48" w:rsidRPr="002C1A48" w:rsidRDefault="002C1A48" w:rsidP="002C1A48">
            <w:pPr>
              <w:pStyle w:val="a5"/>
              <w:ind w:left="0"/>
              <w:jc w:val="both"/>
              <w:rPr>
                <w:rFonts w:ascii="Verdana" w:hAnsi="Verdana"/>
              </w:rPr>
            </w:pPr>
          </w:p>
          <w:p w14:paraId="15BDBC48" w14:textId="7317C27E" w:rsidR="00E00728" w:rsidRDefault="00E00728" w:rsidP="00E438B3">
            <w:pPr>
              <w:pStyle w:val="a5"/>
              <w:ind w:left="-113"/>
              <w:jc w:val="both"/>
              <w:rPr>
                <w:rFonts w:ascii="Verdana" w:hAnsi="Verdana"/>
              </w:rPr>
            </w:pPr>
          </w:p>
          <w:p w14:paraId="6992AB93" w14:textId="7F60541A" w:rsidR="00E438B3" w:rsidRPr="008E7160" w:rsidRDefault="00E438B3" w:rsidP="008E7160">
            <w:pPr>
              <w:jc w:val="both"/>
              <w:rPr>
                <w:rFonts w:ascii="Verdana" w:hAnsi="Verdana"/>
                <w:i/>
                <w:color w:val="0070C0"/>
              </w:rPr>
            </w:pPr>
          </w:p>
        </w:tc>
      </w:tr>
    </w:tbl>
    <w:p w14:paraId="0A2095BF" w14:textId="4147EA46" w:rsidR="001E327F" w:rsidRPr="00777D92" w:rsidRDefault="001E327F" w:rsidP="001E327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lang w:val="en-US"/>
        </w:rPr>
      </w:pP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E327F" w:rsidRPr="00224F8A" w14:paraId="784F5D67" w14:textId="77777777" w:rsidTr="001E327F">
        <w:tc>
          <w:tcPr>
            <w:tcW w:w="9498" w:type="dxa"/>
          </w:tcPr>
          <w:p w14:paraId="62C34588" w14:textId="642846F5" w:rsidR="001E327F" w:rsidRPr="00777D92" w:rsidRDefault="001E327F" w:rsidP="001138E3">
            <w:pPr>
              <w:ind w:left="-113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1.2. Недвижимое имущество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с кадастровым номером </w:t>
            </w:r>
            <w:r w:rsidR="002C1A48" w:rsidRPr="002C1A48">
              <w:rPr>
                <w:rFonts w:ascii="Verdana" w:hAnsi="Verdana"/>
                <w:color w:val="000000" w:themeColor="text1"/>
                <w:sz w:val="20"/>
                <w:szCs w:val="20"/>
              </w:rPr>
              <w:t>16:39:041701:322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принадлежит Продавцу на праве собственности на основании</w:t>
            </w:r>
            <w:r w:rsidR="001138E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1138E3" w:rsidRPr="001138E3">
              <w:rPr>
                <w:rFonts w:ascii="Verdana" w:hAnsi="Verdana"/>
                <w:color w:val="000000" w:themeColor="text1"/>
                <w:sz w:val="20"/>
                <w:szCs w:val="20"/>
              </w:rPr>
              <w:t>Постановлени</w:t>
            </w:r>
            <w:r w:rsidR="001138E3">
              <w:rPr>
                <w:rFonts w:ascii="Verdana" w:hAnsi="Verdana"/>
                <w:color w:val="000000" w:themeColor="text1"/>
                <w:sz w:val="20"/>
                <w:szCs w:val="20"/>
              </w:rPr>
              <w:t>я</w:t>
            </w:r>
            <w:r w:rsidR="001138E3" w:rsidRPr="001138E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 передаче имущества</w:t>
            </w:r>
            <w:r w:rsidR="001138E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должника взыскателю от 17.08.2021г.</w:t>
            </w:r>
            <w:r w:rsidR="001138E3" w:rsidRPr="001138E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1E327F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о чем </w:t>
            </w:r>
            <w:r w:rsidR="002C1A48">
              <w:rPr>
                <w:rFonts w:ascii="Verdana" w:hAnsi="Verdana"/>
                <w:color w:val="000000" w:themeColor="text1"/>
                <w:sz w:val="20"/>
                <w:szCs w:val="20"/>
              </w:rPr>
              <w:t>09</w:t>
            </w:r>
            <w:r w:rsidR="00BF0F25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2C1A48">
              <w:rPr>
                <w:rFonts w:ascii="Verdana" w:hAnsi="Verdana"/>
                <w:color w:val="000000" w:themeColor="text1"/>
                <w:sz w:val="20"/>
                <w:szCs w:val="20"/>
              </w:rPr>
              <w:t>03</w:t>
            </w:r>
            <w:r w:rsidR="00BF0F25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2C1A48">
              <w:rPr>
                <w:rFonts w:ascii="Verdana" w:hAnsi="Verdana"/>
                <w:color w:val="000000" w:themeColor="text1"/>
                <w:sz w:val="20"/>
                <w:szCs w:val="20"/>
              </w:rPr>
              <w:t>2021</w:t>
            </w:r>
            <w:r w:rsidR="00BF0F2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в Едином государственном реестре недвижимости сделана запись о регистрации</w:t>
            </w:r>
            <w:r w:rsidR="00777D9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777D92">
              <w:rPr>
                <w:rFonts w:ascii="Verdana" w:hAnsi="Verdana"/>
                <w:color w:val="000000" w:themeColor="text1"/>
                <w:sz w:val="20"/>
                <w:szCs w:val="20"/>
              </w:rPr>
              <w:br/>
            </w:r>
            <w:r w:rsidR="002C1A48" w:rsidRPr="002C1A48">
              <w:rPr>
                <w:rFonts w:ascii="Verdana" w:hAnsi="Verdana"/>
                <w:color w:val="000000" w:themeColor="text1"/>
                <w:sz w:val="20"/>
                <w:szCs w:val="20"/>
              </w:rPr>
              <w:t>№ 16:39:041701:322-16/136/2021-28</w:t>
            </w:r>
            <w:r w:rsidR="00C168C4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280B676" w14:textId="057796F9" w:rsidR="00CF10DB" w:rsidRPr="008509DF" w:rsidRDefault="00D97C6D" w:rsidP="00D97C6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/>
          <w:color w:val="000000" w:themeColor="text1"/>
        </w:rPr>
        <w:t>1.2.2</w:t>
      </w:r>
      <w:r w:rsidR="001E327F" w:rsidRPr="00224F8A">
        <w:rPr>
          <w:rFonts w:ascii="Verdana" w:hAnsi="Verdana"/>
          <w:color w:val="000000" w:themeColor="text1"/>
        </w:rPr>
        <w:t>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</w:t>
      </w:r>
      <w:r w:rsidR="001E327F" w:rsidRPr="00605E8A">
        <w:rPr>
          <w:rFonts w:ascii="Verdana" w:hAnsi="Verdana"/>
          <w:color w:val="000000" w:themeColor="text1"/>
        </w:rPr>
        <w:t xml:space="preserve"> </w:t>
      </w:r>
      <w:r w:rsidR="001E327F">
        <w:rPr>
          <w:rFonts w:ascii="Verdana" w:hAnsi="Verdana" w:cs="Verdana"/>
          <w:color w:val="000000"/>
        </w:rPr>
        <w:t>на использование земельного участка.</w:t>
      </w:r>
    </w:p>
    <w:p w14:paraId="2EE49ED7" w14:textId="71E13743" w:rsidR="00171986" w:rsidRPr="008509DF" w:rsidRDefault="000E2F36" w:rsidP="00D97C6D">
      <w:pPr>
        <w:pStyle w:val="ConsNormal"/>
        <w:widowControl/>
        <w:numPr>
          <w:ilvl w:val="1"/>
          <w:numId w:val="26"/>
        </w:numPr>
        <w:tabs>
          <w:tab w:val="left" w:pos="0"/>
        </w:tabs>
        <w:ind w:left="0" w:right="0" w:firstLine="0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1F5B347E" w14:textId="77777777" w:rsidR="0034333C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  <w:p w14:paraId="3F4CEDED" w14:textId="05A829E0" w:rsidR="00B64332" w:rsidRPr="008509DF" w:rsidRDefault="00B64332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</w:p>
        </w:tc>
      </w:tr>
    </w:tbl>
    <w:p w14:paraId="2598A378" w14:textId="349BC0FE" w:rsidR="00761DF7" w:rsidRDefault="00761DF7" w:rsidP="00B6433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B64332" w:rsidRPr="00224F8A" w14:paraId="3162B274" w14:textId="77777777" w:rsidTr="00E00728">
        <w:tc>
          <w:tcPr>
            <w:tcW w:w="7196" w:type="dxa"/>
            <w:shd w:val="clear" w:color="auto" w:fill="auto"/>
          </w:tcPr>
          <w:p w14:paraId="5E530CE4" w14:textId="77777777" w:rsidR="00B64332" w:rsidRDefault="00B64332" w:rsidP="00E00728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  <w:p w14:paraId="59833552" w14:textId="626F2784" w:rsidR="00C2424F" w:rsidRDefault="00B64332" w:rsidP="00B64332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DC507B">
              <w:rPr>
                <w:rFonts w:ascii="Verdana" w:hAnsi="Verdana" w:cs="Verdana"/>
                <w:color w:val="000000"/>
                <w:sz w:val="20"/>
                <w:szCs w:val="20"/>
              </w:rPr>
              <w:t>До</w:t>
            </w:r>
            <w:r w:rsidR="00EA34EC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подписания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Договора Покупатель произвел осмотр недвижимого имущества и не обнаружил каких-либо существенных дефектов и недостатков,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за исключением тех, о которых ему сообщил Продавец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, которые могли бы повлиять на решение о покупке и цене недвижимого имущества, претензий по состоянию, качеству и характеристикам приоб</w:t>
            </w:r>
            <w:r w:rsidR="001138E3">
              <w:rPr>
                <w:rFonts w:ascii="Verdana" w:hAnsi="Verdana" w:cs="Verdana"/>
                <w:color w:val="000000"/>
                <w:sz w:val="20"/>
                <w:szCs w:val="20"/>
              </w:rPr>
              <w:t>ретаемого недвижимого имущества</w:t>
            </w:r>
            <w:r w:rsidRPr="00F763D0"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5"/>
            </w:tblGrid>
            <w:tr w:rsidR="00C2424F" w:rsidRPr="00C2424F" w14:paraId="616D1156" w14:textId="77777777">
              <w:trPr>
                <w:trHeight w:val="196"/>
              </w:trPr>
              <w:tc>
                <w:tcPr>
                  <w:tcW w:w="6345" w:type="dxa"/>
                </w:tcPr>
                <w:p w14:paraId="19A170B2" w14:textId="77777777" w:rsidR="00C2424F" w:rsidRPr="00C2424F" w:rsidRDefault="00C2424F" w:rsidP="00C242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</w:pPr>
                  <w:r w:rsidRPr="00C2424F">
                    <w:rPr>
                      <w:rFonts w:ascii="Verdana" w:hAnsi="Verdana" w:cs="Verdana"/>
                      <w:color w:val="000000"/>
                      <w:sz w:val="18"/>
                      <w:szCs w:val="18"/>
                    </w:rPr>
                    <w:t xml:space="preserve">документационной укомплектованности </w:t>
                  </w:r>
                </w:p>
              </w:tc>
            </w:tr>
          </w:tbl>
          <w:p w14:paraId="1DAF331F" w14:textId="303F04AF" w:rsidR="00E00728" w:rsidRDefault="00C2424F" w:rsidP="00B64332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B64332">
              <w:rPr>
                <w:rFonts w:ascii="Verdana" w:hAnsi="Verdana" w:cs="Verdana"/>
                <w:color w:val="000000"/>
                <w:sz w:val="20"/>
                <w:szCs w:val="20"/>
              </w:rPr>
              <w:t>Покупатель к Продавцу не имеет.</w:t>
            </w:r>
          </w:p>
          <w:p w14:paraId="687D7E49" w14:textId="4C1AAE04" w:rsidR="00B64332" w:rsidRPr="002C1A48" w:rsidRDefault="00B64332" w:rsidP="002C1A48">
            <w:pPr>
              <w:spacing w:line="240" w:lineRule="auto"/>
              <w:jc w:val="both"/>
              <w:rPr>
                <w:rFonts w:ascii="Verdana" w:eastAsia="Times New Roman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Покупатель подтверждает, что ознакомился с документацией на недвижимое имущество</w:t>
            </w:r>
            <w:r w:rsidR="00C2424F">
              <w:rPr>
                <w:rFonts w:ascii="Verdana" w:hAnsi="Verdana" w:cs="Verdana"/>
                <w:color w:val="000000"/>
                <w:sz w:val="20"/>
                <w:szCs w:val="20"/>
              </w:rPr>
              <w:t>, правами на земельный участок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до подписания настоящего Договора</w:t>
            </w:r>
          </w:p>
        </w:tc>
      </w:tr>
    </w:tbl>
    <w:p w14:paraId="314F956D" w14:textId="77777777" w:rsidR="00930C3B" w:rsidRPr="008509DF" w:rsidRDefault="00930C3B" w:rsidP="00B64332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64135" w14:textId="78F7B0A8" w:rsidR="00622871" w:rsidRPr="002C1A48" w:rsidRDefault="00622871" w:rsidP="002C1A48">
      <w:pPr>
        <w:pStyle w:val="a5"/>
        <w:numPr>
          <w:ilvl w:val="2"/>
          <w:numId w:val="35"/>
        </w:numPr>
        <w:ind w:left="0" w:hanging="104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622871">
        <w:rPr>
          <w:rFonts w:ascii="Verdana" w:hAnsi="Verdana"/>
        </w:rPr>
        <w:t xml:space="preserve">Цена недвижимого имущества </w:t>
      </w:r>
      <w:r w:rsidRPr="002C1A48">
        <w:rPr>
          <w:rFonts w:ascii="Verdana" w:hAnsi="Verdana"/>
        </w:rPr>
        <w:t xml:space="preserve">составляет </w:t>
      </w:r>
      <w:r w:rsidRPr="002C1A48">
        <w:rPr>
          <w:rFonts w:ascii="Verdana" w:hAnsi="Verdana"/>
          <w:i/>
          <w:color w:val="0070C0"/>
        </w:rPr>
        <w:t>______________________ (__________________)</w:t>
      </w:r>
      <w:r w:rsidRPr="002C1A48">
        <w:rPr>
          <w:rFonts w:ascii="Verdana" w:hAnsi="Verdana"/>
          <w:color w:val="0070C0"/>
        </w:rPr>
        <w:t xml:space="preserve"> </w:t>
      </w:r>
      <w:r w:rsidRPr="002C1A48">
        <w:rPr>
          <w:rFonts w:ascii="Verdana" w:hAnsi="Verdana"/>
        </w:rPr>
        <w:t>рублей</w:t>
      </w:r>
      <w:r w:rsidRPr="002C1A48">
        <w:rPr>
          <w:rFonts w:ascii="Verdana" w:hAnsi="Verdana"/>
          <w:color w:val="4F81BD" w:themeColor="accent1"/>
        </w:rPr>
        <w:t xml:space="preserve"> ___ </w:t>
      </w:r>
      <w:r w:rsidRPr="002C1A48">
        <w:rPr>
          <w:rFonts w:ascii="Verdana" w:hAnsi="Verdana"/>
        </w:rPr>
        <w:t>копеек (в том числе НДС, исчисленный в соответствии с действующим законодательством);</w:t>
      </w:r>
    </w:p>
    <w:p w14:paraId="27DBF956" w14:textId="77777777" w:rsidR="00FE719A" w:rsidRPr="0036292E" w:rsidRDefault="00FE719A" w:rsidP="00FE719A">
      <w:pPr>
        <w:autoSpaceDE w:val="0"/>
        <w:autoSpaceDN w:val="0"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A251803" w14:textId="4BFE93D2" w:rsidR="00DE0E51" w:rsidRPr="002C1A48" w:rsidRDefault="00B64B5C" w:rsidP="002C1A48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FD4E1DE" w:rsidR="00AB5223" w:rsidRPr="008509DF" w:rsidRDefault="00DE0E51" w:rsidP="00714E6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714E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>Н</w:t>
            </w:r>
            <w:r w:rsidR="00737CDB" w:rsidRPr="00714E64">
              <w:rPr>
                <w:rFonts w:ascii="Verdana" w:hAnsi="Verdana"/>
                <w:sz w:val="20"/>
                <w:szCs w:val="20"/>
              </w:rPr>
              <w:t>е позднее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 xml:space="preserve"> 5</w:t>
            </w:r>
            <w:r w:rsidR="00737CDB" w:rsidRPr="00714E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 xml:space="preserve">(пяти) </w:t>
            </w:r>
            <w:r w:rsidR="00737CDB" w:rsidRPr="00714E64">
              <w:rPr>
                <w:rFonts w:ascii="Verdana" w:hAnsi="Verdana"/>
                <w:sz w:val="20"/>
                <w:szCs w:val="20"/>
              </w:rPr>
              <w:t>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622871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044C4FBC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2287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8076AD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23272FF9" w:rsidR="001E5436" w:rsidRPr="008076AD" w:rsidRDefault="00B71921" w:rsidP="0062287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>Не позднее 5 (пяти) рабочих дней</w:t>
            </w:r>
            <w:r w:rsidR="00714E64" w:rsidRPr="00714E64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</w:t>
            </w:r>
            <w:r w:rsidR="00622871">
              <w:rPr>
                <w:rFonts w:ascii="Verdana" w:hAnsi="Verdana"/>
                <w:i/>
                <w:color w:val="0070C0"/>
                <w:sz w:val="20"/>
                <w:szCs w:val="20"/>
              </w:rPr>
              <w:t>ействующим законодательством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) </w:t>
            </w:r>
          </w:p>
        </w:tc>
      </w:tr>
    </w:tbl>
    <w:p w14:paraId="7E9358A7" w14:textId="7472A2BC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3D201334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8076AD">
              <w:rPr>
                <w:rFonts w:ascii="Verdana" w:hAnsi="Verdana"/>
                <w:i/>
                <w:color w:val="0070C0"/>
              </w:rPr>
              <w:t xml:space="preserve">(в том числе НДС, исчисленный в соответствии </w:t>
            </w:r>
            <w:r w:rsidR="00622871">
              <w:rPr>
                <w:rFonts w:ascii="Verdana" w:hAnsi="Verdana"/>
                <w:i/>
                <w:color w:val="0070C0"/>
              </w:rPr>
              <w:t>с действующим законодательством</w:t>
            </w:r>
            <w:r w:rsidR="003D002A" w:rsidRPr="008076AD">
              <w:rPr>
                <w:rFonts w:ascii="Verdana" w:hAnsi="Verdana"/>
                <w:i/>
                <w:color w:val="0070C0"/>
              </w:rPr>
              <w:t>),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44A76" w:rsidRPr="008509DF" w14:paraId="6A006545" w14:textId="77777777" w:rsidTr="00E44495">
        <w:tc>
          <w:tcPr>
            <w:tcW w:w="2268" w:type="dxa"/>
            <w:shd w:val="clear" w:color="auto" w:fill="auto"/>
          </w:tcPr>
          <w:p w14:paraId="2D17EC41" w14:textId="4D340336" w:rsidR="00D44A76" w:rsidRPr="00D44A76" w:rsidRDefault="00714E64" w:rsidP="00D4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 w:rsidR="00D44A76"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9CF320A" w14:textId="77777777" w:rsidR="00D44A76" w:rsidRPr="00D44A76" w:rsidRDefault="00D44A76" w:rsidP="00D4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оплаты с использованием кредитных средств</w:t>
            </w:r>
          </w:p>
          <w:p w14:paraId="6CBF547D" w14:textId="77777777" w:rsidR="00D44A76" w:rsidRPr="00D44A76" w:rsidRDefault="00D44A76" w:rsidP="00D44A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44A7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При расчетах посредством аккредитива или номинального счета Общества с ограниченной ответственностью «Центр недвижимости от Сбербанка» (ООО «ЦНС») </w:t>
            </w:r>
          </w:p>
          <w:p w14:paraId="3D4CB74F" w14:textId="77777777" w:rsidR="00D44A76" w:rsidRPr="008076AD" w:rsidRDefault="00D44A76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p w14:paraId="217B576C" w14:textId="781CEA94" w:rsidR="006138E6" w:rsidRDefault="006138E6" w:rsidP="006138E6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C63A5">
              <w:rPr>
                <w:rFonts w:ascii="Verdana" w:hAnsi="Verdana"/>
                <w:sz w:val="20"/>
                <w:szCs w:val="20"/>
              </w:rPr>
              <w:t>.1.</w:t>
            </w:r>
            <w:r w:rsidR="00714E6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14E64" w:rsidRPr="00714E64">
              <w:rPr>
                <w:rFonts w:ascii="Verdana" w:hAnsi="Verdana"/>
                <w:sz w:val="20"/>
                <w:szCs w:val="20"/>
              </w:rPr>
              <w:t xml:space="preserve">Не позднее 5 (пяти) рабочих дней </w:t>
            </w:r>
            <w:r w:rsidR="00622871" w:rsidRPr="00714E64">
              <w:rPr>
                <w:rFonts w:ascii="Verdana" w:hAnsi="Verdana"/>
                <w:sz w:val="20"/>
                <w:szCs w:val="20"/>
              </w:rPr>
              <w:t>рабочих дней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</w:t>
            </w:r>
            <w:r w:rsidR="00714E64" w:rsidRPr="008C63A5">
              <w:rPr>
                <w:rFonts w:ascii="Verdana" w:hAnsi="Verdana"/>
                <w:sz w:val="20"/>
                <w:szCs w:val="20"/>
              </w:rPr>
              <w:t>Покупатель вносит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</w:t>
            </w:r>
            <w:r w:rsidR="00714E64" w:rsidRPr="008C63A5">
              <w:rPr>
                <w:rFonts w:ascii="Verdana" w:hAnsi="Verdana"/>
                <w:sz w:val="20"/>
                <w:szCs w:val="20"/>
              </w:rPr>
              <w:t>на условиях,</w:t>
            </w:r>
            <w:r w:rsidRPr="008C63A5">
              <w:rPr>
                <w:rFonts w:ascii="Verdana" w:hAnsi="Verdana"/>
                <w:sz w:val="20"/>
                <w:szCs w:val="20"/>
              </w:rPr>
              <w:t xml:space="preserve"> изложенных в Приложении №_. </w:t>
            </w:r>
          </w:p>
          <w:p w14:paraId="17FD734A" w14:textId="22BD5F90" w:rsidR="001138E3" w:rsidRDefault="006138E6" w:rsidP="008B0CA0">
            <w:pPr>
              <w:pStyle w:val="a5"/>
              <w:numPr>
                <w:ilvl w:val="2"/>
                <w:numId w:val="37"/>
              </w:numPr>
              <w:ind w:left="0" w:firstLine="41"/>
              <w:jc w:val="both"/>
              <w:rPr>
                <w:rFonts w:ascii="Verdana" w:hAnsi="Verdana"/>
              </w:rPr>
            </w:pPr>
            <w:r w:rsidRPr="00373E89">
              <w:rPr>
                <w:rFonts w:ascii="Verdana" w:hAnsi="Verdana"/>
              </w:rPr>
              <w:t xml:space="preserve">Имущество, указанное в п.1.1. настоящего </w:t>
            </w:r>
            <w:r>
              <w:rPr>
                <w:rFonts w:ascii="Verdana" w:hAnsi="Verdana"/>
              </w:rPr>
              <w:t>Д</w:t>
            </w:r>
            <w:r w:rsidRPr="00373E89">
              <w:rPr>
                <w:rFonts w:ascii="Verdana" w:hAnsi="Verdana"/>
              </w:rPr>
              <w:t>оговора, приобретается с использованием Покупателем кредитных средств _________________________________ (наименование Банка-кредитора</w:t>
            </w:r>
            <w:r w:rsidR="006B367F">
              <w:rPr>
                <w:rFonts w:ascii="Verdana" w:hAnsi="Verdana"/>
              </w:rPr>
              <w:t xml:space="preserve">, </w:t>
            </w:r>
            <w:r w:rsidR="001138E3" w:rsidRPr="001138E3">
              <w:rPr>
                <w:rFonts w:ascii="Verdana" w:hAnsi="Verdana"/>
              </w:rPr>
              <w:t>место заключения кредитного договора, реквизиты и лицензию банка по кредитному договору, если оплата совершается с использованием кредитных средств</w:t>
            </w:r>
            <w:r w:rsidR="001138E3">
              <w:rPr>
                <w:rFonts w:ascii="Verdana" w:hAnsi="Verdana"/>
              </w:rPr>
              <w:t>)</w:t>
            </w:r>
            <w:r w:rsidR="001138E3" w:rsidRPr="001138E3">
              <w:rPr>
                <w:rFonts w:ascii="Verdana" w:hAnsi="Verdana"/>
              </w:rPr>
              <w:t>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44"/>
            </w:tblGrid>
            <w:tr w:rsidR="001138E3" w:rsidRPr="001138E3" w14:paraId="05822CA8" w14:textId="77777777">
              <w:trPr>
                <w:trHeight w:val="416"/>
              </w:trPr>
              <w:tc>
                <w:tcPr>
                  <w:tcW w:w="6344" w:type="dxa"/>
                </w:tcPr>
                <w:p w14:paraId="3F10E085" w14:textId="283FFCFB" w:rsidR="001138E3" w:rsidRPr="001138E3" w:rsidRDefault="001138E3" w:rsidP="001138E3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14:paraId="7C4023E6" w14:textId="713CA849" w:rsidR="006138E6" w:rsidRDefault="006138E6" w:rsidP="008B0CA0">
            <w:pPr>
              <w:pStyle w:val="a5"/>
              <w:numPr>
                <w:ilvl w:val="2"/>
                <w:numId w:val="37"/>
              </w:numPr>
              <w:ind w:left="0" w:firstLine="41"/>
              <w:jc w:val="both"/>
              <w:rPr>
                <w:rFonts w:ascii="Verdana" w:hAnsi="Verdana"/>
              </w:rPr>
            </w:pPr>
            <w:r w:rsidRPr="00373E89">
              <w:rPr>
                <w:rFonts w:ascii="Verdana" w:hAnsi="Verdana"/>
              </w:rPr>
              <w:t>) по кредитному договору № ________________ от __</w:t>
            </w:r>
            <w:proofErr w:type="gramStart"/>
            <w:r w:rsidRPr="00373E89">
              <w:rPr>
                <w:rFonts w:ascii="Verdana" w:hAnsi="Verdana"/>
              </w:rPr>
              <w:t>_._</w:t>
            </w:r>
            <w:proofErr w:type="gramEnd"/>
            <w:r w:rsidRPr="00373E89">
              <w:rPr>
                <w:rFonts w:ascii="Verdana" w:hAnsi="Verdana"/>
              </w:rPr>
              <w:t>_.2020 г. (именуемый в дальнейшем Кредитный договор), заключенному в городе ____________ на срок ____________ месяцев.</w:t>
            </w:r>
          </w:p>
          <w:p w14:paraId="6EF3ECE6" w14:textId="77777777" w:rsidR="006138E6" w:rsidRPr="008C63A5" w:rsidRDefault="006138E6" w:rsidP="006138E6">
            <w:pPr>
              <w:ind w:firstLine="41"/>
              <w:rPr>
                <w:rFonts w:ascii="Verdana" w:hAnsi="Verdana"/>
                <w:sz w:val="20"/>
                <w:szCs w:val="20"/>
              </w:rPr>
            </w:pPr>
          </w:p>
          <w:p w14:paraId="432127CB" w14:textId="1AF6C831" w:rsidR="006138E6" w:rsidRPr="008B0CA0" w:rsidRDefault="006138E6" w:rsidP="008B0CA0">
            <w:pPr>
              <w:ind w:left="504"/>
              <w:jc w:val="both"/>
              <w:rPr>
                <w:rFonts w:ascii="Verdana" w:hAnsi="Verdana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6D85563F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F83821">
              <w:rPr>
                <w:rFonts w:ascii="Verdana" w:hAnsi="Verdana"/>
                <w:i/>
                <w:color w:val="FF0000"/>
              </w:rPr>
              <w:t>, а также 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18BA6031" w14:textId="639CDAC6" w:rsidR="00EA34EC" w:rsidRPr="008509DF" w:rsidRDefault="00EA34EC" w:rsidP="00FE7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6138E6">
      <w:pPr>
        <w:pStyle w:val="a5"/>
        <w:widowControl w:val="0"/>
        <w:numPr>
          <w:ilvl w:val="0"/>
          <w:numId w:val="36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D44A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851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330BB8D" w14:textId="1D9BBD15" w:rsidR="00921B0E" w:rsidRPr="00D44A76" w:rsidRDefault="00D95D9D" w:rsidP="00D44A76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85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504D22">
        <w:rPr>
          <w:rFonts w:ascii="Verdana" w:hAnsi="Verdana"/>
        </w:rPr>
        <w:t>в течение</w:t>
      </w:r>
      <w:r w:rsidR="00504D22" w:rsidRPr="00504D22">
        <w:rPr>
          <w:rFonts w:ascii="Verdana" w:hAnsi="Verdana"/>
        </w:rPr>
        <w:t xml:space="preserve"> 5</w:t>
      </w:r>
      <w:r w:rsidR="002C1077" w:rsidRPr="00504D22">
        <w:rPr>
          <w:rFonts w:ascii="Verdana" w:hAnsi="Verdana"/>
        </w:rPr>
        <w:t xml:space="preserve"> </w:t>
      </w:r>
      <w:r w:rsidR="00504D22" w:rsidRPr="00504D22">
        <w:rPr>
          <w:rFonts w:ascii="Verdana" w:hAnsi="Verdana"/>
        </w:rPr>
        <w:t>(пяти)</w:t>
      </w:r>
      <w:r w:rsidR="00514071" w:rsidRPr="00504D22">
        <w:rPr>
          <w:rFonts w:ascii="Verdana" w:hAnsi="Verdana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DE623E">
        <w:rPr>
          <w:rFonts w:ascii="Verdana" w:hAnsi="Verdana"/>
        </w:rPr>
        <w:t>с даты поступления на расчетный счет Продавца денежных средств по Договору в полном объёме.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6710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00C80413" w:rsidR="00F54327" w:rsidRPr="008509DF" w:rsidRDefault="00F54327" w:rsidP="000D3A3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</w:t>
            </w:r>
            <w:r w:rsidR="000D3A3E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предварительной оплаты 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412B1351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832EF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/посредством </w:t>
            </w:r>
            <w:r w:rsidR="008A02B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использования </w:t>
            </w:r>
            <w:r w:rsidR="00832EF3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 ООО «ЦНС»</w:t>
            </w:r>
          </w:p>
        </w:tc>
        <w:tc>
          <w:tcPr>
            <w:tcW w:w="7502" w:type="dxa"/>
          </w:tcPr>
          <w:p w14:paraId="212FC27D" w14:textId="1677C94D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рабочего дня со дня их получения </w:t>
            </w:r>
            <w:proofErr w:type="gramStart"/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A95C4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proofErr w:type="gramEnd"/>
            <w:r w:rsidR="00A95C44" w:rsidRPr="00F516B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61FDA434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504D22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5FD6E217" w14:textId="577E0E59" w:rsidR="000B2EDF" w:rsidRDefault="000B2EDF" w:rsidP="000B2EDF">
      <w:pPr>
        <w:pStyle w:val="Default"/>
        <w:ind w:firstLine="709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4.2.7. </w:t>
      </w:r>
      <w:r>
        <w:rPr>
          <w:sz w:val="20"/>
          <w:szCs w:val="20"/>
        </w:rPr>
        <w:t xml:space="preserve">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 </w:t>
      </w:r>
    </w:p>
    <w:p w14:paraId="5A915474" w14:textId="76DAEC10" w:rsidR="000B2EDF" w:rsidRDefault="000B2ED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F24758" w14:textId="77777777" w:rsidR="002F2E2A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1A130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2F2E2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:</w:t>
      </w:r>
    </w:p>
    <w:p w14:paraId="1B749F11" w14:textId="77777777" w:rsidR="002F2E2A" w:rsidRDefault="002F2E2A" w:rsidP="002F2E2A">
      <w:pPr>
        <w:pStyle w:val="Default"/>
        <w:rPr>
          <w:sz w:val="20"/>
        </w:rPr>
      </w:pP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71"/>
      </w:tblGrid>
      <w:tr w:rsidR="00FA33B6" w14:paraId="4D1AE29E" w14:textId="77777777" w:rsidTr="009C19C8">
        <w:trPr>
          <w:trHeight w:val="340"/>
        </w:trPr>
        <w:tc>
          <w:tcPr>
            <w:tcW w:w="2943" w:type="dxa"/>
            <w:tcBorders>
              <w:bottom w:val="nil"/>
              <w:right w:val="single" w:sz="4" w:space="0" w:color="auto"/>
            </w:tcBorders>
          </w:tcPr>
          <w:p w14:paraId="4C22EA15" w14:textId="73225498" w:rsidR="00FA33B6" w:rsidRPr="009C19C8" w:rsidRDefault="00FA33B6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 xml:space="preserve">Вариант 1 </w:t>
            </w:r>
            <w:r w:rsidR="00B44F1D" w:rsidRPr="009C19C8">
              <w:rPr>
                <w:i/>
                <w:sz w:val="20"/>
                <w:szCs w:val="20"/>
              </w:rPr>
              <w:t>в случае прямых</w:t>
            </w:r>
            <w:r w:rsidRPr="009C19C8">
              <w:rPr>
                <w:i/>
                <w:sz w:val="20"/>
                <w:szCs w:val="20"/>
              </w:rPr>
              <w:t xml:space="preserve"> расчет</w:t>
            </w:r>
            <w:r w:rsidR="00B44F1D" w:rsidRPr="009C19C8">
              <w:rPr>
                <w:i/>
                <w:sz w:val="20"/>
                <w:szCs w:val="20"/>
              </w:rPr>
              <w:t>ов</w:t>
            </w:r>
            <w:r w:rsidRPr="009C19C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left w:val="single" w:sz="4" w:space="0" w:color="auto"/>
              <w:bottom w:val="nil"/>
            </w:tcBorders>
          </w:tcPr>
          <w:p w14:paraId="3E047C21" w14:textId="1A91C96B" w:rsidR="00FA33B6" w:rsidRDefault="00233E46">
            <w:pPr>
              <w:pStyle w:val="Default"/>
              <w:rPr>
                <w:sz w:val="20"/>
                <w:szCs w:val="20"/>
              </w:rPr>
            </w:pPr>
            <w:r w:rsidRPr="00233E46">
              <w:rPr>
                <w:sz w:val="20"/>
                <w:szCs w:val="20"/>
              </w:rPr>
              <w:t>Прямые расчеты: не позднее 5 рабочих дней с даты поступления на расчетный счет Продавца денежных средств по Договору в полном объеме</w:t>
            </w:r>
          </w:p>
        </w:tc>
      </w:tr>
      <w:tr w:rsidR="00FA33B6" w14:paraId="18C51F0D" w14:textId="77777777" w:rsidTr="009C19C8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917CF" w14:textId="77777777" w:rsidR="00B44F1D" w:rsidRPr="009C19C8" w:rsidRDefault="00B44F1D">
            <w:pPr>
              <w:pStyle w:val="Default"/>
              <w:rPr>
                <w:i/>
                <w:sz w:val="20"/>
                <w:szCs w:val="20"/>
              </w:rPr>
            </w:pPr>
          </w:p>
          <w:p w14:paraId="32212C60" w14:textId="77777777" w:rsidR="00B44F1D" w:rsidRPr="009C19C8" w:rsidRDefault="00B44F1D">
            <w:pPr>
              <w:pStyle w:val="Default"/>
              <w:rPr>
                <w:i/>
                <w:sz w:val="20"/>
                <w:szCs w:val="20"/>
              </w:rPr>
            </w:pPr>
          </w:p>
          <w:p w14:paraId="75ABF67A" w14:textId="4392FE90" w:rsidR="00FA33B6" w:rsidRPr="009C19C8" w:rsidRDefault="00B44F1D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>Вариант 2 для аккредитивной формы расчетов: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B9B935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72030815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  <w:p w14:paraId="26CC7123" w14:textId="3CE9C9D0" w:rsidR="00B44F1D" w:rsidRDefault="00233E46">
            <w:pPr>
              <w:pStyle w:val="Default"/>
              <w:rPr>
                <w:sz w:val="20"/>
                <w:szCs w:val="20"/>
              </w:rPr>
            </w:pPr>
            <w:r w:rsidRPr="00233E46">
              <w:rPr>
                <w:sz w:val="20"/>
                <w:szCs w:val="20"/>
              </w:rPr>
              <w:t>Аккредитивная форма расчетов: не позднее 5 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</w:p>
          <w:p w14:paraId="22B51A77" w14:textId="64EE58AA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</w:tr>
      <w:tr w:rsidR="00FA33B6" w14:paraId="41A279EA" w14:textId="77777777" w:rsidTr="009C19C8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0D1E9" w14:textId="5C0D914F" w:rsidR="00FA33B6" w:rsidRPr="009C19C8" w:rsidRDefault="00B44F1D" w:rsidP="00B44F1D">
            <w:pPr>
              <w:pStyle w:val="Default"/>
              <w:rPr>
                <w:i/>
                <w:sz w:val="20"/>
                <w:szCs w:val="20"/>
              </w:rPr>
            </w:pPr>
            <w:r w:rsidRPr="009C19C8">
              <w:rPr>
                <w:i/>
                <w:sz w:val="20"/>
                <w:szCs w:val="20"/>
              </w:rPr>
              <w:t>Вариант 3 Посредством оплаты с использованием номинального счета ООО «ЦНС»: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78B28" w14:textId="761ABF79" w:rsidR="00FA33B6" w:rsidRDefault="00233E46" w:rsidP="00C24412">
            <w:pPr>
              <w:pStyle w:val="Default"/>
              <w:rPr>
                <w:sz w:val="20"/>
                <w:szCs w:val="20"/>
              </w:rPr>
            </w:pPr>
            <w:r w:rsidRPr="00233E46">
              <w:rPr>
                <w:sz w:val="20"/>
                <w:szCs w:val="20"/>
              </w:rPr>
              <w:t>Номинальный счет ООО «ЦНС»: не позднее 5 рабочих дней с даты размещения денежных средств по Договору на номинальном счете ООО «ЦНС» в полном объеме</w:t>
            </w:r>
          </w:p>
        </w:tc>
      </w:tr>
      <w:tr w:rsidR="00B44F1D" w14:paraId="3D2633D0" w14:textId="77777777" w:rsidTr="00FA33B6">
        <w:trPr>
          <w:trHeight w:val="34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7DD83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9A75B" w14:textId="77777777" w:rsidR="00B44F1D" w:rsidRDefault="00B44F1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4B88DF81" w:rsidR="0013718F" w:rsidRPr="00504D22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2514ABA3" w:rsidR="001D4AF6" w:rsidRDefault="001D4AF6" w:rsidP="00504D2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095439" w14:textId="4BF85E8D" w:rsidR="00777D92" w:rsidRDefault="00777D92" w:rsidP="00504D2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2501B85" w14:textId="144A821D" w:rsidR="00777D92" w:rsidRDefault="00777D92" w:rsidP="00504D2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6E61BD" w14:textId="77777777" w:rsidR="00777D92" w:rsidRPr="00504D22" w:rsidRDefault="00777D92" w:rsidP="00504D2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12E7B56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5226F22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04D22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504D22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504D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2ADC3AC4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6.4. Упущенная выгода по Договору возмещению не подлежит.</w:t>
      </w:r>
    </w:p>
    <w:p w14:paraId="51342F9E" w14:textId="77777777" w:rsidR="00233E46" w:rsidRPr="00233E46" w:rsidRDefault="00233E46" w:rsidP="00233E4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3E46">
        <w:rPr>
          <w:rFonts w:ascii="Verdana" w:eastAsia="Times New Roman" w:hAnsi="Verdana" w:cs="Times New Roman"/>
          <w:sz w:val="20"/>
          <w:szCs w:val="20"/>
          <w:lang w:eastAsia="ru-RU"/>
        </w:rPr>
        <w:t>Ответственность Продавца</w:t>
      </w:r>
    </w:p>
    <w:p w14:paraId="5A1396A4" w14:textId="77777777" w:rsidR="00233E46" w:rsidRPr="00233E46" w:rsidRDefault="00233E46" w:rsidP="00233E4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3E46">
        <w:rPr>
          <w:rFonts w:ascii="Verdana" w:eastAsia="Times New Roman" w:hAnsi="Verdana" w:cs="Times New Roman"/>
          <w:sz w:val="20"/>
          <w:szCs w:val="20"/>
          <w:lang w:eastAsia="ru-RU"/>
        </w:rPr>
        <w:t>Неустойка по письменному требованию Покупателя в размере 0,01% (Ноль целых одна сотая процента) от цены Договора за каждый день просрочки исполнения обязательства за уклонение:</w:t>
      </w:r>
    </w:p>
    <w:p w14:paraId="3C86EE0A" w14:textId="77777777" w:rsidR="00233E46" w:rsidRPr="00233E46" w:rsidRDefault="00233E46" w:rsidP="00233E4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3E46">
        <w:rPr>
          <w:rFonts w:ascii="Verdana" w:eastAsia="Times New Roman" w:hAnsi="Verdana" w:cs="Times New Roman"/>
          <w:sz w:val="20"/>
          <w:szCs w:val="20"/>
          <w:lang w:eastAsia="ru-RU"/>
        </w:rPr>
        <w:t>- от подачи документов на государственную регистрацию в срок, установленный Договором;</w:t>
      </w:r>
    </w:p>
    <w:p w14:paraId="362D3AA9" w14:textId="45603532" w:rsidR="00233E46" w:rsidRDefault="00233E46" w:rsidP="00233E4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33E46">
        <w:rPr>
          <w:rFonts w:ascii="Verdana" w:eastAsia="Times New Roman" w:hAnsi="Verdana" w:cs="Times New Roman"/>
          <w:sz w:val="20"/>
          <w:szCs w:val="20"/>
          <w:lang w:eastAsia="ru-RU"/>
        </w:rPr>
        <w:t>- от передачи недвижимого имущества по акту приема-передачи в срок, установленный Договором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B75BA29" w14:textId="1544D2A4" w:rsidR="00B86386" w:rsidRPr="008509DF" w:rsidRDefault="00B86386" w:rsidP="00233E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504D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2E84A808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8B0CA0">
        <w:rPr>
          <w:rFonts w:ascii="Verdana" w:eastAsia="Times New Roman" w:hAnsi="Verdana" w:cs="Times New Roman"/>
          <w:sz w:val="20"/>
          <w:szCs w:val="20"/>
          <w:lang w:eastAsia="ru-RU"/>
        </w:rPr>
        <w:t>, 2.3.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00ECDEB2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EB1951">
              <w:rPr>
                <w:rFonts w:ascii="Verdana" w:hAnsi="Verdana"/>
                <w:i/>
                <w:color w:val="FF0000"/>
                <w:sz w:val="20"/>
                <w:szCs w:val="20"/>
              </w:rPr>
              <w:t>/оплате через номинальный счет ООО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2D123BA9" w:rsidR="00046C89" w:rsidRPr="0055668A" w:rsidRDefault="00046C89" w:rsidP="0018654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BF346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</w:t>
            </w:r>
            <w:r w:rsidR="00EB19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23AC64DD" w14:textId="77777777" w:rsidR="00046C89" w:rsidRPr="0055668A" w:rsidRDefault="00046C89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04D22" w:rsidRDefault="0099685B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04D22" w:rsidRDefault="000B3E5F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</w:t>
      </w:r>
      <w:r w:rsidR="00A8795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курьерской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службой с</w:t>
      </w:r>
      <w:r w:rsidR="009B5AB0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2F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вложенных </w:t>
      </w:r>
      <w:r w:rsidR="001E42F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отправление </w:t>
      </w:r>
      <w:r w:rsidR="00A8795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документов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04D22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504D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2989746D" w:rsidR="00C7693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1ABC8DD" w14:textId="77777777" w:rsidR="00622871" w:rsidRPr="00D013EC" w:rsidRDefault="00622871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57B2EAE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</w:t>
      </w:r>
      <w:r w:rsidR="0093204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2</w:t>
      </w:r>
      <w:r w:rsidR="0093204D" w:rsidRPr="0093204D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2 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5307710B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93204D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22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11FCD37" w14:textId="77777777" w:rsidR="00504D22" w:rsidRPr="008509DF" w:rsidRDefault="00504D2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42A32E" w14:textId="77777777" w:rsidR="00504D22" w:rsidRPr="00504D22" w:rsidRDefault="00504D22" w:rsidP="00504D22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04D22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04D22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04D22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04D22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C2C3F66" w14:textId="77777777" w:rsidR="00A1228E" w:rsidRDefault="00A1228E" w:rsidP="00A1228E">
                  <w:pPr>
                    <w:jc w:val="center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  <w:p w14:paraId="40F9F653" w14:textId="54181D63" w:rsidR="00EF6C77" w:rsidRPr="00645BF6" w:rsidRDefault="00EF6C77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7D641316" w14:textId="35F379ED" w:rsidR="00A5470E" w:rsidRPr="00A5470E" w:rsidRDefault="00DD5861" w:rsidP="00A5470E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93204D">
        <w:rPr>
          <w:rFonts w:ascii="Verdana" w:eastAsia="Times New Roman" w:hAnsi="Verdana" w:cs="Times New Roman"/>
          <w:sz w:val="20"/>
          <w:szCs w:val="20"/>
          <w:lang w:eastAsia="ru-RU"/>
        </w:rPr>
        <w:t>22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F36E72D" w14:textId="165BD84C" w:rsidR="00233E46" w:rsidRPr="00233E46" w:rsidRDefault="00233E46" w:rsidP="00233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Здание, назначение: нежилое здание, кадастровый номер 16:39:041701:322, общей площадью 949,6 </w:t>
      </w:r>
      <w:proofErr w:type="spellStart"/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кв.м</w:t>
      </w:r>
      <w:proofErr w:type="spellEnd"/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., адрес (местонахождение): Республика Татарстан, </w:t>
      </w:r>
      <w:proofErr w:type="spellStart"/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Тукаевский</w:t>
      </w:r>
      <w:proofErr w:type="spellEnd"/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муниципальный район, </w:t>
      </w:r>
      <w:proofErr w:type="spellStart"/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Бетькинское</w:t>
      </w:r>
      <w:proofErr w:type="spellEnd"/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сельское поселение, п. Кама, авторынок «Кама», (далее именуемое – «недвижимое имущество»), расположенное на земельном участке с кадастровым номером № </w:t>
      </w:r>
      <w:r w:rsidR="0093204D" w:rsidRPr="0093204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16:39:041701:15</w:t>
      </w:r>
      <w:bookmarkStart w:id="0" w:name="_GoBack"/>
      <w:bookmarkEnd w:id="0"/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площадью 1 224 +/- 24 </w:t>
      </w:r>
      <w:proofErr w:type="spellStart"/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кв.м</w:t>
      </w:r>
      <w:proofErr w:type="spellEnd"/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.,</w:t>
      </w:r>
    </w:p>
    <w:p w14:paraId="3D45FBC8" w14:textId="77777777" w:rsidR="00233E46" w:rsidRDefault="00233E46" w:rsidP="00233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33E4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</w:p>
    <w:p w14:paraId="09126DA8" w14:textId="75A45B0D" w:rsidR="00DD5861" w:rsidRPr="008509DF" w:rsidRDefault="00DD5861" w:rsidP="00233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осведомлен о состоянии недвижимого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имущества, скрытых и явных дефектах и недостатках недвижимого имущества.</w:t>
      </w:r>
    </w:p>
    <w:p w14:paraId="23056A99" w14:textId="0FD70E38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5470E" w:rsidRPr="008509DF" w14:paraId="7E924A8B" w14:textId="77777777" w:rsidTr="00E00728">
        <w:tc>
          <w:tcPr>
            <w:tcW w:w="6460" w:type="dxa"/>
            <w:shd w:val="clear" w:color="auto" w:fill="auto"/>
          </w:tcPr>
          <w:p w14:paraId="482FF112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2400DB0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E5A0416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7E5B903D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9B9629B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808A441" w14:textId="77777777" w:rsidR="00A5470E" w:rsidRPr="008509DF" w:rsidRDefault="00A5470E" w:rsidP="00E00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3F520153" w14:textId="026254EF" w:rsidR="00DD5861" w:rsidRPr="008509DF" w:rsidRDefault="00AB23A0" w:rsidP="00A54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3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2F879F2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143495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143495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75D0D30E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 xml:space="preserve">/счет № </w:t>
      </w:r>
      <w:proofErr w:type="gramStart"/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</w:t>
      </w:r>
      <w:proofErr w:type="gramEnd"/>
      <w:r w:rsidRPr="000C2791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45E7DA89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206476">
        <w:rPr>
          <w:rFonts w:ascii="Verdana" w:hAnsi="Verdana"/>
        </w:rPr>
        <w:t xml:space="preserve"> на условиях</w:t>
      </w:r>
      <w:r w:rsidR="00791173">
        <w:rPr>
          <w:rFonts w:ascii="Verdana" w:hAnsi="Verdana"/>
        </w:rPr>
        <w:t xml:space="preserve">, </w:t>
      </w:r>
      <w:proofErr w:type="gramStart"/>
      <w:r w:rsidR="00791173">
        <w:rPr>
          <w:rFonts w:ascii="Verdana" w:hAnsi="Verdana"/>
        </w:rPr>
        <w:t xml:space="preserve">изложенных </w:t>
      </w:r>
      <w:r w:rsidR="00206476">
        <w:rPr>
          <w:rFonts w:ascii="Verdana" w:hAnsi="Verdana"/>
        </w:rPr>
        <w:t xml:space="preserve"> ниже</w:t>
      </w:r>
      <w:proofErr w:type="gramEnd"/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6C32C343" w:rsidR="00686D08" w:rsidRPr="008509DF" w:rsidRDefault="00686D08" w:rsidP="00A5470E">
      <w:pPr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D572C" w14:textId="77777777" w:rsidR="003A4B35" w:rsidRDefault="003A4B35" w:rsidP="00E33D4F">
      <w:pPr>
        <w:spacing w:after="0" w:line="240" w:lineRule="auto"/>
      </w:pPr>
      <w:r>
        <w:separator/>
      </w:r>
    </w:p>
  </w:endnote>
  <w:endnote w:type="continuationSeparator" w:id="0">
    <w:p w14:paraId="279CF3A4" w14:textId="77777777" w:rsidR="003A4B35" w:rsidRDefault="003A4B3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3865DE5" w:rsidR="00E00728" w:rsidRDefault="00E007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04D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E00728" w:rsidRDefault="00E007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7A2C9" w14:textId="77777777" w:rsidR="003A4B35" w:rsidRDefault="003A4B35" w:rsidP="00E33D4F">
      <w:pPr>
        <w:spacing w:after="0" w:line="240" w:lineRule="auto"/>
      </w:pPr>
      <w:r>
        <w:separator/>
      </w:r>
    </w:p>
  </w:footnote>
  <w:footnote w:type="continuationSeparator" w:id="0">
    <w:p w14:paraId="066C581C" w14:textId="77777777" w:rsidR="003A4B35" w:rsidRDefault="003A4B35" w:rsidP="00E33D4F">
      <w:pPr>
        <w:spacing w:after="0" w:line="240" w:lineRule="auto"/>
      </w:pPr>
      <w:r>
        <w:continuationSeparator/>
      </w:r>
    </w:p>
  </w:footnote>
  <w:footnote w:id="1">
    <w:p w14:paraId="3E891BE5" w14:textId="3E22A99C" w:rsidR="00E00728" w:rsidRPr="00120657" w:rsidRDefault="00E00728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2">
    <w:p w14:paraId="0B9CC3AE" w14:textId="46FE2549" w:rsidR="00E00728" w:rsidRPr="00D03FB6" w:rsidRDefault="00E00728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2"/>
      </w:tblGrid>
      <w:tr w:rsidR="0041715D" w:rsidRPr="0041715D" w14:paraId="1B261E4E" w14:textId="77777777">
        <w:trPr>
          <w:trHeight w:val="307"/>
        </w:trPr>
        <w:tc>
          <w:tcPr>
            <w:tcW w:w="6342" w:type="dxa"/>
          </w:tcPr>
          <w:p w14:paraId="3F1EC987" w14:textId="77777777" w:rsidR="0041715D" w:rsidRPr="0041715D" w:rsidRDefault="0041715D" w:rsidP="004171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1715D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Банк-эмитент по аккредитиву – из топ-50 по объему капитала согласно данным рейтингового агентства РИА Рейтинг (прим: рейтинг доступен на сайте агентства https://riarating.ru/banks/ </w:t>
            </w:r>
          </w:p>
        </w:tc>
      </w:tr>
    </w:tbl>
    <w:p w14:paraId="6FBCD112" w14:textId="41395161" w:rsidR="00E00728" w:rsidRPr="008070A5" w:rsidRDefault="00E00728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4">
    <w:p w14:paraId="48894CA9" w14:textId="21BDB666" w:rsidR="00E00728" w:rsidRPr="0010369A" w:rsidRDefault="00E00728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</w:p>
  </w:footnote>
  <w:footnote w:id="5">
    <w:p w14:paraId="6B5C1A07" w14:textId="1C012E28" w:rsidR="00E00728" w:rsidRDefault="00E00728" w:rsidP="00035ED5">
      <w:pPr>
        <w:pStyle w:val="af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08D2"/>
    <w:multiLevelType w:val="multilevel"/>
    <w:tmpl w:val="6CE4F7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EC41871"/>
    <w:multiLevelType w:val="multilevel"/>
    <w:tmpl w:val="A752A47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66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60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91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216" w:hanging="144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6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768" w:hanging="216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71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0F81177"/>
    <w:multiLevelType w:val="multilevel"/>
    <w:tmpl w:val="78F26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1A7299E"/>
    <w:multiLevelType w:val="multilevel"/>
    <w:tmpl w:val="8E608EF2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160"/>
      </w:pPr>
      <w:rPr>
        <w:rFonts w:hint="default"/>
      </w:r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06551C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5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27"/>
  </w:num>
  <w:num w:numId="5">
    <w:abstractNumId w:val="24"/>
  </w:num>
  <w:num w:numId="6">
    <w:abstractNumId w:val="14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29"/>
  </w:num>
  <w:num w:numId="18">
    <w:abstractNumId w:val="15"/>
  </w:num>
  <w:num w:numId="19">
    <w:abstractNumId w:val="9"/>
  </w:num>
  <w:num w:numId="20">
    <w:abstractNumId w:val="23"/>
  </w:num>
  <w:num w:numId="21">
    <w:abstractNumId w:val="16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31"/>
  </w:num>
  <w:num w:numId="27">
    <w:abstractNumId w:val="26"/>
  </w:num>
  <w:num w:numId="28">
    <w:abstractNumId w:val="10"/>
  </w:num>
  <w:num w:numId="29">
    <w:abstractNumId w:val="36"/>
  </w:num>
  <w:num w:numId="30">
    <w:abstractNumId w:val="30"/>
  </w:num>
  <w:num w:numId="31">
    <w:abstractNumId w:val="25"/>
  </w:num>
  <w:num w:numId="32">
    <w:abstractNumId w:val="2"/>
  </w:num>
  <w:num w:numId="33">
    <w:abstractNumId w:val="7"/>
  </w:num>
  <w:num w:numId="34">
    <w:abstractNumId w:val="1"/>
  </w:num>
  <w:num w:numId="35">
    <w:abstractNumId w:val="17"/>
  </w:num>
  <w:num w:numId="36">
    <w:abstractNumId w:val="34"/>
  </w:num>
  <w:num w:numId="37">
    <w:abstractNumId w:val="2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4D91"/>
    <w:rsid w:val="000262EF"/>
    <w:rsid w:val="000270FE"/>
    <w:rsid w:val="00030EF1"/>
    <w:rsid w:val="00032CB8"/>
    <w:rsid w:val="00033968"/>
    <w:rsid w:val="00034D0A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5344"/>
    <w:rsid w:val="000563DC"/>
    <w:rsid w:val="00056D36"/>
    <w:rsid w:val="00061508"/>
    <w:rsid w:val="00062401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BD1"/>
    <w:rsid w:val="00097EC7"/>
    <w:rsid w:val="000A0B3B"/>
    <w:rsid w:val="000A1317"/>
    <w:rsid w:val="000A3E4C"/>
    <w:rsid w:val="000B2EDF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3A3E"/>
    <w:rsid w:val="000D5385"/>
    <w:rsid w:val="000E2363"/>
    <w:rsid w:val="000E2F36"/>
    <w:rsid w:val="000E3328"/>
    <w:rsid w:val="000E36D3"/>
    <w:rsid w:val="000E3C2E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83"/>
    <w:rsid w:val="00102FE7"/>
    <w:rsid w:val="0010369A"/>
    <w:rsid w:val="00103A3A"/>
    <w:rsid w:val="00106775"/>
    <w:rsid w:val="001102D9"/>
    <w:rsid w:val="00111061"/>
    <w:rsid w:val="001138E3"/>
    <w:rsid w:val="0011745C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3495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54D"/>
    <w:rsid w:val="00186859"/>
    <w:rsid w:val="00191380"/>
    <w:rsid w:val="00191F6A"/>
    <w:rsid w:val="001946E4"/>
    <w:rsid w:val="001A130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919"/>
    <w:rsid w:val="001E0CB7"/>
    <w:rsid w:val="001E2588"/>
    <w:rsid w:val="001E2875"/>
    <w:rsid w:val="001E2A0A"/>
    <w:rsid w:val="001E327F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6476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38BC"/>
    <w:rsid w:val="00224B29"/>
    <w:rsid w:val="00224EF7"/>
    <w:rsid w:val="00224F8A"/>
    <w:rsid w:val="00226C9D"/>
    <w:rsid w:val="00227065"/>
    <w:rsid w:val="002334FB"/>
    <w:rsid w:val="00233E46"/>
    <w:rsid w:val="00235F4F"/>
    <w:rsid w:val="00241454"/>
    <w:rsid w:val="00241924"/>
    <w:rsid w:val="002419E3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1A48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2E2A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46130"/>
    <w:rsid w:val="00351FB3"/>
    <w:rsid w:val="003546A4"/>
    <w:rsid w:val="00361D47"/>
    <w:rsid w:val="0036292E"/>
    <w:rsid w:val="003629D2"/>
    <w:rsid w:val="003677C6"/>
    <w:rsid w:val="00370031"/>
    <w:rsid w:val="0037118C"/>
    <w:rsid w:val="0037350E"/>
    <w:rsid w:val="00373BB0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A4B35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02E4"/>
    <w:rsid w:val="003D11A9"/>
    <w:rsid w:val="003D25D9"/>
    <w:rsid w:val="003D75C2"/>
    <w:rsid w:val="003D7B76"/>
    <w:rsid w:val="003D7FC5"/>
    <w:rsid w:val="003E26A0"/>
    <w:rsid w:val="003E358D"/>
    <w:rsid w:val="003E43A9"/>
    <w:rsid w:val="003E6D7D"/>
    <w:rsid w:val="003E6D9A"/>
    <w:rsid w:val="003E7F0D"/>
    <w:rsid w:val="003F3676"/>
    <w:rsid w:val="003F4076"/>
    <w:rsid w:val="003F428E"/>
    <w:rsid w:val="003F7EC6"/>
    <w:rsid w:val="0040125A"/>
    <w:rsid w:val="004025E6"/>
    <w:rsid w:val="00410A63"/>
    <w:rsid w:val="00411976"/>
    <w:rsid w:val="00412CEA"/>
    <w:rsid w:val="00412FD9"/>
    <w:rsid w:val="004130F4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15D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5117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22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04B2"/>
    <w:rsid w:val="00570DA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38E6"/>
    <w:rsid w:val="00615599"/>
    <w:rsid w:val="00617D5E"/>
    <w:rsid w:val="00622871"/>
    <w:rsid w:val="00624B6E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018E"/>
    <w:rsid w:val="006B18FF"/>
    <w:rsid w:val="006B245E"/>
    <w:rsid w:val="006B26BF"/>
    <w:rsid w:val="006B367F"/>
    <w:rsid w:val="006B59B7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4E64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D92"/>
    <w:rsid w:val="007805CD"/>
    <w:rsid w:val="00782927"/>
    <w:rsid w:val="007905C5"/>
    <w:rsid w:val="00791173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1FE"/>
    <w:rsid w:val="007B1259"/>
    <w:rsid w:val="007B20FA"/>
    <w:rsid w:val="007B30AC"/>
    <w:rsid w:val="007B77F7"/>
    <w:rsid w:val="007C0658"/>
    <w:rsid w:val="007C4BAA"/>
    <w:rsid w:val="007C6115"/>
    <w:rsid w:val="007D0813"/>
    <w:rsid w:val="007D2ACC"/>
    <w:rsid w:val="007D31CB"/>
    <w:rsid w:val="007D430D"/>
    <w:rsid w:val="007D77EF"/>
    <w:rsid w:val="007E1265"/>
    <w:rsid w:val="007E4C72"/>
    <w:rsid w:val="007E4C88"/>
    <w:rsid w:val="007E570B"/>
    <w:rsid w:val="007E6711"/>
    <w:rsid w:val="007E6B07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0EB5"/>
    <w:rsid w:val="00823E72"/>
    <w:rsid w:val="008248EF"/>
    <w:rsid w:val="00825F9E"/>
    <w:rsid w:val="00826653"/>
    <w:rsid w:val="00830C4B"/>
    <w:rsid w:val="00832AFB"/>
    <w:rsid w:val="00832EF3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2B3"/>
    <w:rsid w:val="008A0FE1"/>
    <w:rsid w:val="008A11FB"/>
    <w:rsid w:val="008A1B72"/>
    <w:rsid w:val="008A3170"/>
    <w:rsid w:val="008A6980"/>
    <w:rsid w:val="008A797C"/>
    <w:rsid w:val="008B0CA0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160"/>
    <w:rsid w:val="008E7604"/>
    <w:rsid w:val="008E7AF6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7879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204D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119"/>
    <w:rsid w:val="009B5AB0"/>
    <w:rsid w:val="009B7AD1"/>
    <w:rsid w:val="009C054D"/>
    <w:rsid w:val="009C19C8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3EA0"/>
    <w:rsid w:val="009D5429"/>
    <w:rsid w:val="009D56EF"/>
    <w:rsid w:val="009D6025"/>
    <w:rsid w:val="009D769C"/>
    <w:rsid w:val="009E0D0E"/>
    <w:rsid w:val="009E1B2D"/>
    <w:rsid w:val="009E1FFC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5A1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70E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5C44"/>
    <w:rsid w:val="00A964BD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3325"/>
    <w:rsid w:val="00AF5974"/>
    <w:rsid w:val="00AF7F47"/>
    <w:rsid w:val="00B012C3"/>
    <w:rsid w:val="00B01E0E"/>
    <w:rsid w:val="00B03BF7"/>
    <w:rsid w:val="00B03E48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4F1D"/>
    <w:rsid w:val="00B45DE2"/>
    <w:rsid w:val="00B51299"/>
    <w:rsid w:val="00B52CBF"/>
    <w:rsid w:val="00B5327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2F6"/>
    <w:rsid w:val="00B642DF"/>
    <w:rsid w:val="00B64332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87BA0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BF5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0F25"/>
    <w:rsid w:val="00BF3460"/>
    <w:rsid w:val="00BF3FCD"/>
    <w:rsid w:val="00BF5638"/>
    <w:rsid w:val="00BF6F41"/>
    <w:rsid w:val="00BF736E"/>
    <w:rsid w:val="00C01BEA"/>
    <w:rsid w:val="00C05441"/>
    <w:rsid w:val="00C069BE"/>
    <w:rsid w:val="00C06D1F"/>
    <w:rsid w:val="00C07167"/>
    <w:rsid w:val="00C108FF"/>
    <w:rsid w:val="00C11257"/>
    <w:rsid w:val="00C14F0A"/>
    <w:rsid w:val="00C1613D"/>
    <w:rsid w:val="00C168C4"/>
    <w:rsid w:val="00C2424F"/>
    <w:rsid w:val="00C24412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2CF6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1E8"/>
    <w:rsid w:val="00CB1ACC"/>
    <w:rsid w:val="00CB35C9"/>
    <w:rsid w:val="00CB3911"/>
    <w:rsid w:val="00CB3942"/>
    <w:rsid w:val="00CB6567"/>
    <w:rsid w:val="00CB7202"/>
    <w:rsid w:val="00CB783A"/>
    <w:rsid w:val="00CB7E62"/>
    <w:rsid w:val="00CC04E1"/>
    <w:rsid w:val="00CC228E"/>
    <w:rsid w:val="00CC2DBB"/>
    <w:rsid w:val="00CC31CE"/>
    <w:rsid w:val="00CC3B0A"/>
    <w:rsid w:val="00CC3CB9"/>
    <w:rsid w:val="00CC44A0"/>
    <w:rsid w:val="00CD0770"/>
    <w:rsid w:val="00CD0BC6"/>
    <w:rsid w:val="00CD20F2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18B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00BD"/>
    <w:rsid w:val="00D22955"/>
    <w:rsid w:val="00D24468"/>
    <w:rsid w:val="00D246FA"/>
    <w:rsid w:val="00D27B13"/>
    <w:rsid w:val="00D30721"/>
    <w:rsid w:val="00D31076"/>
    <w:rsid w:val="00D35749"/>
    <w:rsid w:val="00D36533"/>
    <w:rsid w:val="00D42EFE"/>
    <w:rsid w:val="00D440B9"/>
    <w:rsid w:val="00D44A76"/>
    <w:rsid w:val="00D45892"/>
    <w:rsid w:val="00D47D8A"/>
    <w:rsid w:val="00D512E5"/>
    <w:rsid w:val="00D52F48"/>
    <w:rsid w:val="00D556CB"/>
    <w:rsid w:val="00D61C32"/>
    <w:rsid w:val="00D64DF5"/>
    <w:rsid w:val="00D65E92"/>
    <w:rsid w:val="00D65EAA"/>
    <w:rsid w:val="00D67AF5"/>
    <w:rsid w:val="00D70554"/>
    <w:rsid w:val="00D70B27"/>
    <w:rsid w:val="00D70B9F"/>
    <w:rsid w:val="00D72F86"/>
    <w:rsid w:val="00D74400"/>
    <w:rsid w:val="00D74B8B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97C6D"/>
    <w:rsid w:val="00DA1F66"/>
    <w:rsid w:val="00DA5B8B"/>
    <w:rsid w:val="00DB04D4"/>
    <w:rsid w:val="00DB3FA8"/>
    <w:rsid w:val="00DC01B5"/>
    <w:rsid w:val="00DC25F5"/>
    <w:rsid w:val="00DC4F8C"/>
    <w:rsid w:val="00DC507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23E"/>
    <w:rsid w:val="00DE6351"/>
    <w:rsid w:val="00DE69A7"/>
    <w:rsid w:val="00DF059C"/>
    <w:rsid w:val="00DF1ECB"/>
    <w:rsid w:val="00DF28F5"/>
    <w:rsid w:val="00DF5AE1"/>
    <w:rsid w:val="00DF6F0D"/>
    <w:rsid w:val="00DF767D"/>
    <w:rsid w:val="00E00728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8B3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308F"/>
    <w:rsid w:val="00EA34EC"/>
    <w:rsid w:val="00EA57EA"/>
    <w:rsid w:val="00EA6860"/>
    <w:rsid w:val="00EA7B8A"/>
    <w:rsid w:val="00EA7D4E"/>
    <w:rsid w:val="00EB0A78"/>
    <w:rsid w:val="00EB1951"/>
    <w:rsid w:val="00EB3EF9"/>
    <w:rsid w:val="00EB516B"/>
    <w:rsid w:val="00EC0512"/>
    <w:rsid w:val="00EC089E"/>
    <w:rsid w:val="00EC17A9"/>
    <w:rsid w:val="00EC3B2D"/>
    <w:rsid w:val="00ED08AB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5EAA"/>
    <w:rsid w:val="00EF619B"/>
    <w:rsid w:val="00EF6C77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1815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3821"/>
    <w:rsid w:val="00F8465A"/>
    <w:rsid w:val="00F8488D"/>
    <w:rsid w:val="00F85E74"/>
    <w:rsid w:val="00F85EC0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3B6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5E57"/>
    <w:rsid w:val="00FD7498"/>
    <w:rsid w:val="00FE10CC"/>
    <w:rsid w:val="00FE2008"/>
    <w:rsid w:val="00FE5DAF"/>
    <w:rsid w:val="00FE719A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D0EA1CA9-145E-4480-9E9C-C817BCA9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0B2ED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1ED4-A641-46AF-8CE9-5968E0AD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Александровна</dc:creator>
  <cp:keywords/>
  <cp:lastModifiedBy>Ермолов Владислав Андреевич</cp:lastModifiedBy>
  <cp:revision>4</cp:revision>
  <cp:lastPrinted>2019-10-21T13:14:00Z</cp:lastPrinted>
  <dcterms:created xsi:type="dcterms:W3CDTF">2022-01-11T13:35:00Z</dcterms:created>
  <dcterms:modified xsi:type="dcterms:W3CDTF">2022-01-18T12:05:00Z</dcterms:modified>
</cp:coreProperties>
</file>