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 w:rsidR="00A239B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39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CF7448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CF7448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E55FC7">
        <w:rPr>
          <w:sz w:val="24"/>
          <w:szCs w:val="24"/>
        </w:rPr>
        <w:t>2</w:t>
      </w:r>
      <w:r w:rsidR="00CF7448">
        <w:rPr>
          <w:sz w:val="24"/>
          <w:szCs w:val="24"/>
        </w:rPr>
        <w:t>2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E55FC7">
        <w:rPr>
          <w:sz w:val="24"/>
          <w:szCs w:val="24"/>
        </w:rPr>
        <w:t xml:space="preserve"> </w:t>
      </w:r>
      <w:r w:rsidR="00E55FC7" w:rsidRPr="00CF7448">
        <w:rPr>
          <w:sz w:val="24"/>
          <w:szCs w:val="24"/>
        </w:rPr>
        <w:t>Л</w:t>
      </w:r>
      <w:r w:rsidR="00E113A2" w:rsidRPr="00CF7448">
        <w:rPr>
          <w:sz w:val="24"/>
          <w:szCs w:val="24"/>
        </w:rPr>
        <w:t xml:space="preserve">от </w:t>
      </w:r>
      <w:r w:rsidR="0010770A" w:rsidRPr="00CF7448">
        <w:rPr>
          <w:sz w:val="24"/>
          <w:szCs w:val="24"/>
        </w:rPr>
        <w:t>№</w:t>
      </w:r>
      <w:r w:rsidR="00CF7448" w:rsidRPr="00CF7448">
        <w:rPr>
          <w:sz w:val="24"/>
          <w:szCs w:val="24"/>
        </w:rPr>
        <w:t xml:space="preserve"> 2 - Обыкновенные акции ПАО «Сбербанк России» (ОГРН 1027700132195), в количестве 1000 шт., номиналом 3руб.</w:t>
      </w:r>
      <w:r w:rsidRPr="00CF7448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1F40E4">
        <w:rPr>
          <w:sz w:val="24"/>
          <w:szCs w:val="24"/>
        </w:rPr>
        <w:t>32 634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>рубл</w:t>
      </w:r>
      <w:r w:rsidR="001F40E4">
        <w:rPr>
          <w:sz w:val="24"/>
          <w:szCs w:val="24"/>
        </w:rPr>
        <w:t>я</w:t>
      </w:r>
      <w:r w:rsidR="00E113A2">
        <w:rPr>
          <w:sz w:val="24"/>
          <w:szCs w:val="24"/>
        </w:rPr>
        <w:t xml:space="preserve"> </w:t>
      </w:r>
      <w:r w:rsidR="001F40E4">
        <w:rPr>
          <w:sz w:val="24"/>
          <w:szCs w:val="24"/>
        </w:rPr>
        <w:t>90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F40E4">
        <w:rPr>
          <w:rFonts w:ascii="Times New Roman" w:hAnsi="Times New Roman" w:cs="Times New Roman"/>
          <w:sz w:val="24"/>
          <w:szCs w:val="24"/>
        </w:rPr>
        <w:t>07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F40E4">
        <w:rPr>
          <w:rFonts w:ascii="Times New Roman" w:hAnsi="Times New Roman" w:cs="Times New Roman"/>
          <w:sz w:val="24"/>
          <w:szCs w:val="24"/>
        </w:rPr>
        <w:t>февраля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F494A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bookmarkStart w:id="0" w:name="_GoBack"/>
      <w:bookmarkEnd w:id="0"/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F40E4">
        <w:rPr>
          <w:rFonts w:ascii="Times New Roman" w:hAnsi="Times New Roman" w:cs="Times New Roman"/>
          <w:sz w:val="24"/>
          <w:szCs w:val="24"/>
        </w:rPr>
        <w:t>10 час. 00 мин. (МСК) 18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F40E4">
        <w:rPr>
          <w:rFonts w:ascii="Times New Roman" w:hAnsi="Times New Roman" w:cs="Times New Roman"/>
          <w:sz w:val="24"/>
          <w:szCs w:val="24"/>
        </w:rPr>
        <w:t>марта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1F40E4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CE" w:rsidRDefault="00003ECE" w:rsidP="00571C78">
      <w:pPr>
        <w:spacing w:after="0" w:line="240" w:lineRule="auto"/>
      </w:pPr>
      <w:r>
        <w:separator/>
      </w:r>
    </w:p>
  </w:endnote>
  <w:endnote w:type="continuationSeparator" w:id="0">
    <w:p w:rsidR="00003ECE" w:rsidRDefault="00003ECE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CE" w:rsidRDefault="00003ECE" w:rsidP="00571C78">
      <w:pPr>
        <w:spacing w:after="0" w:line="240" w:lineRule="auto"/>
      </w:pPr>
      <w:r>
        <w:separator/>
      </w:r>
    </w:p>
  </w:footnote>
  <w:footnote w:type="continuationSeparator" w:id="0">
    <w:p w:rsidR="00003ECE" w:rsidRDefault="00003ECE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3ECE"/>
    <w:rsid w:val="000A62E5"/>
    <w:rsid w:val="000C29B3"/>
    <w:rsid w:val="0010770A"/>
    <w:rsid w:val="001F40E4"/>
    <w:rsid w:val="003C3202"/>
    <w:rsid w:val="00404C21"/>
    <w:rsid w:val="00571C78"/>
    <w:rsid w:val="0072782F"/>
    <w:rsid w:val="00782550"/>
    <w:rsid w:val="00880ABD"/>
    <w:rsid w:val="00930ABD"/>
    <w:rsid w:val="00931A58"/>
    <w:rsid w:val="00A239B0"/>
    <w:rsid w:val="00B9083F"/>
    <w:rsid w:val="00B93549"/>
    <w:rsid w:val="00CF7448"/>
    <w:rsid w:val="00D7550C"/>
    <w:rsid w:val="00DF494A"/>
    <w:rsid w:val="00E113A2"/>
    <w:rsid w:val="00E55FC7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D57E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3</cp:revision>
  <dcterms:created xsi:type="dcterms:W3CDTF">2022-01-31T08:29:00Z</dcterms:created>
  <dcterms:modified xsi:type="dcterms:W3CDTF">2022-01-31T08:30:00Z</dcterms:modified>
</cp:coreProperties>
</file>