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A25E3" w14:textId="4C991EFC"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Приложение </w:t>
      </w:r>
      <w:r w:rsidR="008F426C">
        <w:rPr>
          <w:rFonts w:ascii="Times New Roman" w:eastAsia="Times New Roman" w:hAnsi="Times New Roman" w:cs="Times New Roman"/>
          <w:b/>
          <w:sz w:val="24"/>
          <w:szCs w:val="24"/>
          <w:lang w:eastAsia="ru-RU"/>
        </w:rPr>
        <w:t>1</w:t>
      </w:r>
      <w:bookmarkStart w:id="0" w:name="_GoBack"/>
      <w:bookmarkEnd w:id="0"/>
    </w:p>
    <w:p w14:paraId="7B8381FF" w14:textId="77777777"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ФИО Победителя торгов-Заемщика/Титульного созаемщика</w:t>
      </w:r>
      <w:r w:rsidR="00DA1954" w:rsidRPr="001437C5">
        <w:rPr>
          <w:rFonts w:ascii="Times New Roman" w:eastAsia="Times New Roman" w:hAnsi="Times New Roman" w:cs="Times New Roman"/>
          <w:sz w:val="24"/>
          <w:szCs w:val="24"/>
          <w:lang w:eastAsia="ru-RU"/>
        </w:rPr>
        <w:t>], именуемый(ая)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«_____»___________г.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w:t>
      </w:r>
      <w:r w:rsidRPr="001437C5">
        <w:rPr>
          <w:rFonts w:ascii="Times New Roman" w:eastAsia="Times New Roman" w:hAnsi="Times New Roman" w:cs="Times New Roman"/>
          <w:i/>
          <w:sz w:val="24"/>
          <w:szCs w:val="24"/>
          <w:lang w:eastAsia="ru-RU"/>
        </w:rPr>
        <w:lastRenderedPageBreak/>
        <w:t xml:space="preserve">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указывается при наличии созаемщика</w:t>
      </w:r>
      <w:r w:rsidR="00506B8A" w:rsidRPr="001437C5">
        <w:rPr>
          <w:rFonts w:ascii="Times New Roman" w:eastAsia="Times New Roman" w:hAnsi="Times New Roman" w:cs="Times New Roman"/>
          <w:sz w:val="24"/>
          <w:szCs w:val="24"/>
          <w:lang w:eastAsia="ru-RU"/>
        </w:rPr>
        <w:t xml:space="preserve"> - и Созаемщика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(___________)___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указывается при наличии созаемщика</w:t>
      </w:r>
      <w:r w:rsidR="00506B8A" w:rsidRPr="001437C5">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(__________)_____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(прописки):____________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фактического проживания:__________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B8D0" w14:textId="77777777" w:rsidR="00B7267F" w:rsidRDefault="00B7267F" w:rsidP="00B402E1">
      <w:pPr>
        <w:spacing w:after="0" w:line="240" w:lineRule="auto"/>
      </w:pPr>
      <w:r>
        <w:separator/>
      </w:r>
    </w:p>
  </w:endnote>
  <w:endnote w:type="continuationSeparator" w:id="0">
    <w:p w14:paraId="7518321B" w14:textId="77777777" w:rsidR="00B7267F" w:rsidRDefault="00B7267F" w:rsidP="00B402E1">
      <w:pPr>
        <w:spacing w:after="0" w:line="240" w:lineRule="auto"/>
      </w:pPr>
      <w:r>
        <w:continuationSeparator/>
      </w:r>
    </w:p>
  </w:endnote>
  <w:endnote w:type="continuationNotice" w:id="1">
    <w:p w14:paraId="1406B638" w14:textId="77777777" w:rsidR="00B7267F" w:rsidRDefault="00B72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2770" w14:textId="77777777" w:rsidR="009C7CEB" w:rsidRDefault="009C7CE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3ED1EC49" w:rsidR="00245838" w:rsidRDefault="003F5AFB">
    <w:pPr>
      <w:pStyle w:val="af1"/>
    </w:pPr>
    <w:r>
      <w:rPr>
        <w:noProof/>
        <w:lang w:eastAsia="ru-RU"/>
      </w:rPr>
      <w:drawing>
        <wp:inline distT="0" distB="0" distL="0" distR="0" wp14:anchorId="16629040" wp14:editId="0D5490AE">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1D3E" w14:textId="77777777" w:rsidR="009C7CEB" w:rsidRDefault="009C7CE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8B94" w14:textId="77777777" w:rsidR="00B7267F" w:rsidRDefault="00B7267F" w:rsidP="00B402E1">
      <w:pPr>
        <w:spacing w:after="0" w:line="240" w:lineRule="auto"/>
      </w:pPr>
      <w:r>
        <w:separator/>
      </w:r>
    </w:p>
  </w:footnote>
  <w:footnote w:type="continuationSeparator" w:id="0">
    <w:p w14:paraId="190F63E2" w14:textId="77777777" w:rsidR="00B7267F" w:rsidRDefault="00B7267F" w:rsidP="00B402E1">
      <w:pPr>
        <w:spacing w:after="0" w:line="240" w:lineRule="auto"/>
      </w:pPr>
      <w:r>
        <w:continuationSeparator/>
      </w:r>
    </w:p>
  </w:footnote>
  <w:footnote w:type="continuationNotice" w:id="1">
    <w:p w14:paraId="4F4E72EE" w14:textId="77777777" w:rsidR="00B7267F" w:rsidRDefault="00B72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0CC8" w14:textId="77777777" w:rsidR="009C7CEB" w:rsidRDefault="009C7CE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165E" w14:textId="77777777" w:rsidR="009C7CEB" w:rsidRDefault="009C7CE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6AB4" w14:textId="77777777" w:rsidR="009C7CEB" w:rsidRDefault="009C7CE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AFB"/>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275B0"/>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26C"/>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C7CEB"/>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67F"/>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457E"/>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FB8DD3BA6B3B76918E9746A0020341BC-E422D224B03D4DE41DDE917A9A9BCAA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aXnzkpcTDfvqM1bTmgbz2O/1KGIAF6F0mxlnd7K72Vo=</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t/zj13oXLss/EsSEPVCDeReWpTiPtM9vPTbYh7Mi9o4=</DigestValue>
    </Reference>
  </SignedInfo>
  <SignatureValue>lDomufSIOnB0txiLnG4THAWNhGZfo6jezfwpcY0WvSUgWLRq6HVD2aAcVxOSf16S
OCKV1bqfSaKB4qU7OHhR/Q==</SignatureValue>
  <KeyInfo>
    <X509Data>
      <X509Certificate>MIIJ3TCCCYqgAwIBAgIRA3Yg1ABKrYaoQl0bHsGMqDEwCgYIKoUDBwEBAwIwggHo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LdCf0YDQviIwHhcNMjEwNjE3MTI0NzIwWhcNMjIwOTE3MTI1MjAyWjCCASExRzBF
BgkqhkiG9w0BCQEWODNmYTU4MDhlNjU2ZDBlMDhiYmIxOGIwZTFhZjRlMzFkQHNl
cnR1bS1wcm8ucm9zcmVlc3RyLnJ1MRowGAYIKoUDA4EDAQESDDY2MzEwNDMxOTA1
NjEWMBQGBSqFA2QDEgsxMTc4NjM2Nzk5NjE2MDQGA1UEKgwt0JXQstCz0LXQvdC4
0Lkg0JPQsNCx0LTQuNC70YTQsNGA0LXRgtC+0LLQuNGHMR0wGwYDVQQEDBTQk9C4
0LzQsNGC0LTQuNC90L7QsjFLMEkGA1UEAwxC0JPQuNC80LDRgtC00LjQvdC+0LIg
0JXQstCz0LXQvdC40Lkg0JPQsNCx0LTQuNC70YTQsNGA0LXRgtC+0LLQuNGHMGYw
HwYIKoUDBwEBAQEwEwYHKoUDAgIkAAYIKoUDBwEBAgIDQwAEQDp7vbxzy8iN/P+r
DTKUWS7Ly9hk+RZXeXVg0osdB49cB77NyPlQ7Sd9EcvOT8/fY8CMuTgq5QTPz5Ck
l5oUvRWjggXJMIIFxTAMBgUqhQNkcgQDAgEBMA4GA1UdDwEB/wQEAwIE8DAcBgNV
HREEFTATgRFlZ2ltYXRkaW5vdkBiay5ydTATBgNVHSAEDDAKMAgGBiqFA2RxATBV
BgNVHSUETjBMBggrBgEFBQcDAgYHKoUDAgIiBgYIKwYBBQUHAwQGByqFAwOBOQEG
CCqFAwUBGAIbBggqhQMDBQoCDAYHKoUDAwcIAQYHKoUDAwcDFzCCARAGCCsGAQUF
BwEBBIIBAjCB/zA3BggrBgEFBQcwAYYraHR0cDovL3BraS5zZXJ0dW0tcHJvLnJ1
L29jc3BxMjAxMi9vY3NwLnNyZjA4BggrBgEFBQcwAYYsaHR0cDovL3BraTIuc2Vy
dHVtLXByby5ydS9vY3NwcTIwMTIvb2NzcC5zcmYwRgYIKwYBBQUHMAKGOmh0dHA6
Ly9jYS5zZXJ0dW0tcHJvLnJ1L2NlcnRpZmljYXRlcy9zZXJ0dW0tcHJvLXEtMjAy
MS5jcnQwQgYIKwYBBQUHMAKGNmh0dHA6Ly9jYS5zZXJ0dW0ucnUvY2VydGlmaWNh
dGVzL3NlcnR1bS1wcm8tcS0yMDIxLmNydDArBgNVHRAEJDAigA8yMDIxMDYxNzEy
NDcyMFqBDzIwMjIwOTE3MTI1MjAyWjCCATMGBSqFA2RwBIIBKDCCASQMKyLQmtGA
0LjQv9GC0L7Qn9GA0L4gQ1NQIiAo0LLQtdGA0YHQuNGPIDQuMCkMUyLQo9C00L7R
gdGC0L7QstC10YDRj9GO0YnQuNC5INGG0LXQvdGC0YAgItCa0YDQuNC/0YLQvtCf
0YDQviDQo9CmIiDQstC10YDRgdC40LggMi4wDE/QodC10YDRgtC40YTQuNC60LDR
giDRgdC+0L7RgtCy0LXRgtGB0YLQstC40Y8g4oSWINCh0KQvMTI0LTM5NjYg0L7R
giAxNS4wMS4yMDIxDE/QodC10YDRgtC40YTQuNC60LDRgiDRgdC+0L7RgtCy0LXR
gtGB0YLQstC40Y8g4oSWINCh0KQvMTI4LTM1OTIg0L7RgiAxNy4xMC4yMDE4MCMG
BSqFA2RvBBoMGCLQmtGA0LjQv9GC0L7Qn9GA0L4gQ1NQIjB3BgNVHR8EcDBuMDeg
NaAzhjFodHRwOi8vY2Euc2VydHVtLXByby5ydS9jZHAvc2VydHVtLXByby1xLTIw
MjEuY3JsMDOgMaAvhi1odHRwOi8vY2Euc2VydHVtLnJ1L2NkcC9zZXJ0dW0tcHJv
LXEtMjAyMS5jcmwwgYIGByqFAwICMQIEdzB1MGUWQGh0dHBzOi8vY2Eua29udHVy
LnJ1L2Fib3V0L2RvY3VtZW50cy9jcnlwdG9wcm8tbGljZW5zZS1xdWFsaWZpZWQM
HdCh0JrQkSDQmtC+0L3RgtGD0YAg0Lgg0JTQl9CeAwIF4AQMmSkcwKjRtb7zzxvb
MIIBXwYDVR0jBIIBVjCCAVKAFPahNBG0PswiWtbV5kUKTzdVj+7IoYIBLKSCASgw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gdGB0LjQuIIKGcoW/QAAAAAFizAdBgNVHQ4EFgQUC2eiCTrG/cg3US21yyb64RHV
M7IwCgYIKoUDBwEBAwIDQQCfDhBGxFVUKg1LzF/hvK3jJuB0aWXIWd84F9n5jXAn
29aidndSN0wDtOEX+bjTT0pjmChoCnkpieJCgbWZd5TE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ETl2N2mu+j9aEtGrs7WYD+kUxDQ=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pt0/3VbHchFSoynWzoD8KUhDASs=</DigestValue>
      </Reference>
      <Reference URI="/word/document.xml?ContentType=application/vnd.openxmlformats-officedocument.wordprocessingml.document.main+xml">
        <DigestMethod Algorithm="http://www.w3.org/2000/09/xmldsig#sha1"/>
        <DigestValue>jf8ncKgF9h5N3dKt5JpzcTNYW0E=</DigestValue>
      </Reference>
      <Reference URI="/word/endnotes.xml?ContentType=application/vnd.openxmlformats-officedocument.wordprocessingml.endnotes+xml">
        <DigestMethod Algorithm="http://www.w3.org/2000/09/xmldsig#sha1"/>
        <DigestValue>GrVsK4b6JjPVFXbaD7xEdAP6hLg=</DigestValue>
      </Reference>
      <Reference URI="/word/fontTable.xml?ContentType=application/vnd.openxmlformats-officedocument.wordprocessingml.fontTable+xml">
        <DigestMethod Algorithm="http://www.w3.org/2000/09/xmldsig#sha1"/>
        <DigestValue>E0c8ykTsgCIQRjDDQeOBccfLDiA=</DigestValue>
      </Reference>
      <Reference URI="/word/footer1.xml?ContentType=application/vnd.openxmlformats-officedocument.wordprocessingml.footer+xml">
        <DigestMethod Algorithm="http://www.w3.org/2000/09/xmldsig#sha1"/>
        <DigestValue>eSgBrCD9e0yVBe5K84eAlZxU49c=</DigestValue>
      </Reference>
      <Reference URI="/word/footer2.xml?ContentType=application/vnd.openxmlformats-officedocument.wordprocessingml.footer+xml">
        <DigestMethod Algorithm="http://www.w3.org/2000/09/xmldsig#sha1"/>
        <DigestValue>u883rDgh5x0yCHBpltWmtH+ItTo=</DigestValue>
      </Reference>
      <Reference URI="/word/footer3.xml?ContentType=application/vnd.openxmlformats-officedocument.wordprocessingml.footer+xml">
        <DigestMethod Algorithm="http://www.w3.org/2000/09/xmldsig#sha1"/>
        <DigestValue>DrfHoQ/+gcTx71r/aZlAredcIWc=</DigestValue>
      </Reference>
      <Reference URI="/word/footnotes.xml?ContentType=application/vnd.openxmlformats-officedocument.wordprocessingml.footnotes+xml">
        <DigestMethod Algorithm="http://www.w3.org/2000/09/xmldsig#sha1"/>
        <DigestValue>0c7RD93TOlVd0/qTcskHbnzR7Ag=</DigestValue>
      </Reference>
      <Reference URI="/word/header1.xml?ContentType=application/vnd.openxmlformats-officedocument.wordprocessingml.header+xml">
        <DigestMethod Algorithm="http://www.w3.org/2000/09/xmldsig#sha1"/>
        <DigestValue>b61Zq8+1IeoR23RL25bY2KjlwH8=</DigestValue>
      </Reference>
      <Reference URI="/word/header2.xml?ContentType=application/vnd.openxmlformats-officedocument.wordprocessingml.header+xml">
        <DigestMethod Algorithm="http://www.w3.org/2000/09/xmldsig#sha1"/>
        <DigestValue>nwRFsSE8wYKhnYgGUZmmrpjCo3I=</DigestValue>
      </Reference>
      <Reference URI="/word/header3.xml?ContentType=application/vnd.openxmlformats-officedocument.wordprocessingml.header+xml">
        <DigestMethod Algorithm="http://www.w3.org/2000/09/xmldsig#sha1"/>
        <DigestValue>sxPUKj8ebeQcbGQLIx09cl4Ru7U=</DigestValue>
      </Reference>
      <Reference URI="/word/numbering.xml?ContentType=application/vnd.openxmlformats-officedocument.wordprocessingml.numbering+xml">
        <DigestMethod Algorithm="http://www.w3.org/2000/09/xmldsig#sha1"/>
        <DigestValue>OBsS42NBVqMRide04w1QVyN29YI=</DigestValue>
      </Reference>
      <Reference URI="/word/settings.xml?ContentType=application/vnd.openxmlformats-officedocument.wordprocessingml.settings+xml">
        <DigestMethod Algorithm="http://www.w3.org/2000/09/xmldsig#sha1"/>
        <DigestValue>ZSHdICAJiKUE2rcTk5xCSVNnXu4=</DigestValue>
      </Reference>
      <Reference URI="/word/styles.xml?ContentType=application/vnd.openxmlformats-officedocument.wordprocessingml.styles+xml">
        <DigestMethod Algorithm="http://www.w3.org/2000/09/xmldsig#sha1"/>
        <DigestValue>3rKsQyAMtVvZBzl5LiMu08tg+1o=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qRcR9PJXuD5aFZgb3y4+80w4fWE=</DigestValue>
      </Reference>
    </Manifest>
    <SignatureProperties>
      <SignatureProperty Id="idSignatureTime" Target="#idPackageSignature">
        <mdssi:SignatureTime xmlns:mdssi="http://schemas.openxmlformats.org/package/2006/digital-signature">
          <mdssi:Format>YYYY-MM-DDThh:mm:ssTZD</mdssi:Format>
          <mdssi:Value>2021-09-23T11:36:58Z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2021-09-23T11:36:58Z</xd:SigningTime>
          <xd:SigningCertificate>
            <xd:Cert>
              <xd:CertDigest>
                <DigestMethod Algorithm="http://www.w3.org/2000/09/xmldsig#sha1"/>
                <DigestValue>6fdQUeWMaURpBZ/CMDS1yvQSlBI=</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1177866457658856222825532491154961770545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4397-C445-4873-AC62-B2EDD67E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12593</Characters>
  <Application>Microsoft Office Word</Application>
  <DocSecurity>0</DocSecurity>
  <Lines>240</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Лайтенбергер Елена Борисовна</cp:lastModifiedBy>
  <cp:revision>2</cp:revision>
  <dcterms:created xsi:type="dcterms:W3CDTF">2021-08-24T10:15:00Z</dcterms:created>
  <dcterms:modified xsi:type="dcterms:W3CDTF">2021-08-24T10:15:00Z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