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9B5EB08" w:rsidR="001D7929" w:rsidRPr="00224F8A" w:rsidRDefault="00BA4C0A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(Банк «ТРАСТ» (ПАО) 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2DA30A71" w:rsidR="00B83979" w:rsidRPr="008509DF" w:rsidRDefault="00B951BA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51BA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B951BA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именуемое в дальнейшем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B951BA">
        <w:rPr>
          <w:rFonts w:ascii="Verdana" w:eastAsia="Times New Roman" w:hAnsi="Verdana" w:cs="Times New Roman"/>
          <w:sz w:val="20"/>
          <w:szCs w:val="20"/>
          <w:lang w:eastAsia="ru-RU"/>
        </w:rPr>
        <w:t>в лице Ивановой Наталии Александровны, действующей на основании доверенности № 92/2021 от 06 июля 2021 года, удостоверенной нотариусом гор. Москвы Красновым Германом Евгеньевичем, зарегистрировано в реестре № 77/287-Н/77-2021-17-802,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6DCEFB7" w14:textId="77777777" w:rsidR="006E76AB" w:rsidRPr="00224F8A" w:rsidRDefault="00AF721D" w:rsidP="006E76AB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E76AB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6E76AB" w:rsidRPr="00224F8A" w14:paraId="25FD59F6" w14:textId="77777777" w:rsidTr="00D51324">
        <w:tc>
          <w:tcPr>
            <w:tcW w:w="6969" w:type="dxa"/>
          </w:tcPr>
          <w:p w14:paraId="44E5265B" w14:textId="77777777" w:rsidR="006E76AB" w:rsidRPr="00224F8A" w:rsidRDefault="006E76AB" w:rsidP="00D51324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6E76AB" w:rsidRPr="00487B5E" w14:paraId="1EE34D7C" w14:textId="77777777" w:rsidTr="00D51324">
        <w:trPr>
          <w:trHeight w:val="224"/>
        </w:trPr>
        <w:tc>
          <w:tcPr>
            <w:tcW w:w="6969" w:type="dxa"/>
          </w:tcPr>
          <w:p w14:paraId="0370F13C" w14:textId="77777777" w:rsidR="006E76AB" w:rsidRPr="00487B5E" w:rsidRDefault="006E76AB" w:rsidP="00D51324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87B5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11205ADA" w14:textId="77777777" w:rsidR="006E76AB" w:rsidRPr="008509DF" w:rsidRDefault="006E76AB" w:rsidP="006E76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7B5E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0F75FD5" w14:textId="7CE8F1C8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6387204" w:rsidR="00AF721D" w:rsidRPr="00267BF6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267BF6">
        <w:rPr>
          <w:rFonts w:ascii="Verdana" w:hAnsi="Verdana" w:cs="Times New Roman"/>
          <w:color w:val="000000" w:themeColor="text1"/>
        </w:rPr>
        <w:t xml:space="preserve">По </w:t>
      </w:r>
      <w:r w:rsidR="00CB783A" w:rsidRPr="00267BF6">
        <w:rPr>
          <w:rFonts w:ascii="Verdana" w:hAnsi="Verdana" w:cs="Times New Roman"/>
          <w:color w:val="000000" w:themeColor="text1"/>
        </w:rPr>
        <w:t>Договору</w:t>
      </w:r>
      <w:r w:rsidRPr="00267BF6">
        <w:rPr>
          <w:rFonts w:ascii="Verdana" w:hAnsi="Verdana" w:cs="Times New Roman"/>
          <w:color w:val="000000" w:themeColor="text1"/>
        </w:rPr>
        <w:t xml:space="preserve"> </w:t>
      </w:r>
      <w:r w:rsidR="00171986" w:rsidRPr="00267BF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67BF6">
        <w:rPr>
          <w:rFonts w:ascii="Verdana" w:hAnsi="Verdana" w:cs="Times New Roman"/>
          <w:color w:val="000000" w:themeColor="text1"/>
        </w:rPr>
        <w:t>я</w:t>
      </w:r>
      <w:r w:rsidR="00171986" w:rsidRPr="00267BF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67BF6">
        <w:rPr>
          <w:rFonts w:ascii="Verdana" w:hAnsi="Verdana" w:cs="Times New Roman"/>
        </w:rPr>
        <w:t>обязуется принять и оплатить</w:t>
      </w:r>
      <w:r w:rsidR="00325CC0" w:rsidRPr="00267BF6">
        <w:rPr>
          <w:rFonts w:ascii="Verdana" w:hAnsi="Verdana" w:cs="Times New Roman"/>
        </w:rPr>
        <w:t>:</w:t>
      </w:r>
      <w:r w:rsidR="00171986" w:rsidRPr="00267BF6">
        <w:rPr>
          <w:rFonts w:ascii="Verdana" w:hAnsi="Verdana" w:cs="Times New Roman"/>
        </w:rPr>
        <w:t xml:space="preserve">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267BF6" w14:paraId="389E18F5" w14:textId="77777777" w:rsidTr="00DA2B67">
        <w:tc>
          <w:tcPr>
            <w:tcW w:w="9634" w:type="dxa"/>
            <w:vAlign w:val="center"/>
          </w:tcPr>
          <w:p w14:paraId="727ED919" w14:textId="0D62F04A" w:rsidR="00325CC0" w:rsidRPr="001D2ACF" w:rsidRDefault="00325CC0" w:rsidP="001D2ACF">
            <w:pPr>
              <w:jc w:val="both"/>
              <w:rPr>
                <w:rFonts w:ascii="Verdana" w:hAnsi="Verdana"/>
              </w:rPr>
            </w:pPr>
          </w:p>
          <w:p w14:paraId="0522DA04" w14:textId="35CCB725" w:rsidR="00267BF6" w:rsidRDefault="0012088E" w:rsidP="0012088E">
            <w:pPr>
              <w:pStyle w:val="ConsNormal"/>
              <w:widowControl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12088E">
              <w:rPr>
                <w:rFonts w:ascii="Verdana" w:hAnsi="Verdana" w:cs="Times New Roman"/>
              </w:rPr>
              <w:t>Земельный участок,</w:t>
            </w:r>
            <w:r>
              <w:rPr>
                <w:rFonts w:ascii="Verdana" w:hAnsi="Verdana" w:cs="Times New Roman"/>
              </w:rPr>
              <w:t xml:space="preserve"> категория земель: земли населенных пунктов, виды разрешенного использования: </w:t>
            </w:r>
            <w:r w:rsidRPr="0012088E">
              <w:rPr>
                <w:rFonts w:ascii="Verdana" w:hAnsi="Verdana" w:cs="Times New Roman"/>
              </w:rPr>
              <w:t>для ведения личного подсобного хозяйства (полевой участок)</w:t>
            </w:r>
            <w:r>
              <w:rPr>
                <w:rFonts w:ascii="Verdana" w:hAnsi="Verdana" w:cs="Times New Roman"/>
              </w:rPr>
              <w:t xml:space="preserve">, общей площадью 1 500 </w:t>
            </w:r>
            <w:r w:rsidRPr="0012088E">
              <w:rPr>
                <w:rFonts w:ascii="Verdana" w:hAnsi="Verdana" w:cs="Times New Roman"/>
              </w:rPr>
              <w:t>+/- 27кв. м, расположенный по адресу: Свердловская область, ГО Ревда, севернее с. Кунгурка, урочище Дегтяные, сектор Н, участок № 30, кадастровый номер: 66:21:1401002:1110</w:t>
            </w:r>
            <w:r>
              <w:rPr>
                <w:rFonts w:ascii="Verdana" w:hAnsi="Verdana" w:cs="Times New Roman"/>
              </w:rPr>
              <w:t>.</w:t>
            </w:r>
          </w:p>
          <w:p w14:paraId="66BCB6B8" w14:textId="77777777" w:rsidR="0012088E" w:rsidRPr="00267BF6" w:rsidRDefault="0012088E" w:rsidP="0012088E">
            <w:pPr>
              <w:pStyle w:val="ConsNormal"/>
              <w:widowControl/>
              <w:tabs>
                <w:tab w:val="left" w:pos="709"/>
                <w:tab w:val="left" w:pos="1080"/>
              </w:tabs>
              <w:ind w:left="720" w:right="0" w:firstLine="0"/>
              <w:jc w:val="both"/>
              <w:rPr>
                <w:rFonts w:ascii="Verdana" w:hAnsi="Verdana" w:cs="Times New Roman"/>
              </w:rPr>
            </w:pPr>
          </w:p>
          <w:p w14:paraId="7222B59C" w14:textId="16EC5FC6" w:rsidR="00267BF6" w:rsidRPr="00267BF6" w:rsidRDefault="00267BF6" w:rsidP="00267BF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</w:rPr>
            </w:pPr>
            <w:r w:rsidRPr="00267BF6">
              <w:rPr>
                <w:rFonts w:ascii="Verdana" w:hAnsi="Verdana" w:cs="Times New Roman"/>
              </w:rPr>
              <w:t>(далее именуемое – «недвижимое имущество»).</w:t>
            </w: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67BF6" w14:paraId="2501F8FC" w14:textId="77777777" w:rsidTr="00950FF3">
        <w:tc>
          <w:tcPr>
            <w:tcW w:w="9634" w:type="dxa"/>
          </w:tcPr>
          <w:tbl>
            <w:tblPr>
              <w:tblW w:w="957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303"/>
            </w:tblGrid>
            <w:tr w:rsidR="00267BF6" w:rsidRPr="004C1672" w14:paraId="4FF6A1DB" w14:textId="77777777" w:rsidTr="00BB7BA1">
              <w:tc>
                <w:tcPr>
                  <w:tcW w:w="2268" w:type="dxa"/>
                  <w:shd w:val="clear" w:color="auto" w:fill="auto"/>
                </w:tcPr>
                <w:p w14:paraId="4E6B1743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  <w:p w14:paraId="7D6839C8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нежилого здания/</w:t>
                  </w:r>
                </w:p>
                <w:p w14:paraId="227DA2B2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сооружения/ОНС</w:t>
                  </w:r>
                  <w:r w:rsidRPr="004C1672" w:rsidDel="000B32D0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с земельным участком на праве собственности</w:t>
                  </w:r>
                </w:p>
                <w:p w14:paraId="48D75603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</w:p>
                <w:p w14:paraId="080B98A5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03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77"/>
                  </w:tblGrid>
                  <w:tr w:rsidR="00267BF6" w:rsidRPr="004C1672" w14:paraId="08A8375C" w14:textId="77777777" w:rsidTr="008F242D">
                    <w:tc>
                      <w:tcPr>
                        <w:tcW w:w="7077" w:type="dxa"/>
                      </w:tcPr>
                      <w:p w14:paraId="23574DEC" w14:textId="32B46541" w:rsidR="000D6356" w:rsidRPr="003B25F0" w:rsidRDefault="000D6356" w:rsidP="003B25F0">
                        <w:pPr>
                          <w:pStyle w:val="a5"/>
                          <w:numPr>
                            <w:ilvl w:val="1"/>
                            <w:numId w:val="2"/>
                          </w:numPr>
                          <w:jc w:val="both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t>Недвижимое имущество:</w:t>
                        </w:r>
                      </w:p>
                      <w:p w14:paraId="4E5E09BB" w14:textId="03CB4AF8" w:rsidR="00267BF6" w:rsidRPr="00257B35" w:rsidRDefault="00B35B3F" w:rsidP="00EE56F1">
                        <w:pPr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t>Недвижимое имущество</w:t>
                        </w:r>
                        <w:r w:rsidR="0012088E">
                          <w:rPr>
                            <w:rFonts w:ascii="Verdana" w:hAnsi="Verdana"/>
                            <w:color w:val="000000" w:themeColor="text1"/>
                          </w:rPr>
                          <w:t xml:space="preserve"> </w:t>
                        </w:r>
                        <w:r w:rsidR="004D3699" w:rsidRPr="0012088E">
                          <w:rPr>
                            <w:rFonts w:ascii="Verdana" w:hAnsi="Verdana"/>
                            <w:color w:val="000000" w:themeColor="text1"/>
                          </w:rPr>
                          <w:t xml:space="preserve">принадлежит Продавцу на праве собственности на основании: </w:t>
                        </w:r>
                        <w:r w:rsidR="0012088E">
                          <w:rPr>
                            <w:rFonts w:ascii="Verdana" w:hAnsi="Verdana"/>
                            <w:color w:val="000000" w:themeColor="text1"/>
                          </w:rPr>
                          <w:t>Договор о присоединении АО «РОСТБАНК» к ПАО Национальный банк «Траст</w:t>
                        </w:r>
                        <w:r w:rsidR="0012088E" w:rsidRPr="0012088E">
                          <w:rPr>
                            <w:rFonts w:ascii="Verdana" w:hAnsi="Verdana"/>
                            <w:color w:val="000000" w:themeColor="text1"/>
                          </w:rPr>
                          <w:t>»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 xml:space="preserve"> от </w:t>
                        </w:r>
                        <w:r w:rsidR="001332FA">
                          <w:rPr>
                            <w:rFonts w:ascii="Verdana" w:hAnsi="Verdana"/>
                            <w:color w:val="000000" w:themeColor="text1"/>
                          </w:rPr>
                          <w:t>2</w:t>
                        </w:r>
                        <w:r w:rsidR="001332FA" w:rsidRPr="006055DC">
                          <w:rPr>
                            <w:rFonts w:ascii="Verdana" w:hAnsi="Verdana"/>
                            <w:color w:val="000000" w:themeColor="text1"/>
                          </w:rPr>
                          <w:t>8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>.0</w:t>
                        </w:r>
                        <w:r w:rsidR="001332FA" w:rsidRPr="006055DC">
                          <w:rPr>
                            <w:rFonts w:ascii="Verdana" w:hAnsi="Verdana"/>
                            <w:color w:val="000000" w:themeColor="text1"/>
                          </w:rPr>
                          <w:t>5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>.2018г, Передаточный акт от 2</w:t>
                        </w:r>
                        <w:r w:rsidR="001332FA" w:rsidRPr="006055DC">
                          <w:rPr>
                            <w:rFonts w:ascii="Verdana" w:hAnsi="Verdana"/>
                            <w:color w:val="000000" w:themeColor="text1"/>
                          </w:rPr>
                          <w:t>8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>.0</w:t>
                        </w:r>
                        <w:r w:rsidR="001332FA" w:rsidRPr="006055DC">
                          <w:rPr>
                            <w:rFonts w:ascii="Verdana" w:hAnsi="Verdana"/>
                            <w:color w:val="000000" w:themeColor="text1"/>
                          </w:rPr>
                          <w:t>5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>.2018</w:t>
                        </w:r>
                        <w:r w:rsidR="004D3699" w:rsidRPr="00257B35">
                          <w:rPr>
                            <w:rFonts w:ascii="Verdana" w:hAnsi="Verdana"/>
                            <w:color w:val="000000" w:themeColor="text1"/>
                          </w:rPr>
                          <w:t>, о чем в Едином государственном реестре недвижимости сделана запись о регистрации</w:t>
                        </w:r>
                        <w:r w:rsidR="001332FA" w:rsidRPr="006055DC">
                          <w:rPr>
                            <w:rFonts w:ascii="Verdana" w:hAnsi="Verdana"/>
                            <w:color w:val="000000" w:themeColor="text1"/>
                          </w:rPr>
                          <w:t xml:space="preserve"> </w:t>
                        </w:r>
                        <w:r w:rsidR="00EE56F1">
                          <w:rPr>
                            <w:rFonts w:ascii="Verdana" w:hAnsi="Verdana"/>
                            <w:color w:val="000000" w:themeColor="text1"/>
                          </w:rPr>
                          <w:t>16.03.2021</w:t>
                        </w:r>
                        <w:r w:rsidR="00EE56F1" w:rsidRPr="00257B35">
                          <w:rPr>
                            <w:rFonts w:ascii="Verdana" w:hAnsi="Verdana"/>
                            <w:color w:val="000000" w:themeColor="text1"/>
                          </w:rPr>
                          <w:t xml:space="preserve"> № 66:21:1401002:1110-66/129/2021-10</w:t>
                        </w:r>
                        <w:r w:rsidR="004D3699" w:rsidRPr="00257B35">
                          <w:rPr>
                            <w:rFonts w:ascii="Verdana" w:hAnsi="Verdana"/>
                            <w:color w:val="000000" w:themeColor="text1"/>
                          </w:rPr>
                          <w:t>, что подтверждается Выпиской из Единого государственно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>го реестра недвижимости от 16.03.2021</w:t>
                        </w:r>
                        <w:r w:rsidR="004D3699" w:rsidRPr="00257B35">
                          <w:rPr>
                            <w:rFonts w:ascii="Verdana" w:hAnsi="Verdana"/>
                            <w:color w:val="000000" w:themeColor="text1"/>
                          </w:rPr>
                          <w:t>.</w:t>
                        </w:r>
                      </w:p>
                    </w:tc>
                  </w:tr>
                </w:tbl>
                <w:p w14:paraId="275055C1" w14:textId="72BFD0CC" w:rsidR="00267BF6" w:rsidRPr="004C1672" w:rsidRDefault="00267BF6" w:rsidP="00267BF6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B632150" w14:textId="1932D6E7" w:rsidR="00267BF6" w:rsidRDefault="00267BF6" w:rsidP="00267BF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67BF6" w:rsidRPr="00224F8A" w14:paraId="067116AE" w14:textId="77777777" w:rsidTr="00950FF3">
        <w:tc>
          <w:tcPr>
            <w:tcW w:w="9634" w:type="dxa"/>
          </w:tcPr>
          <w:p w14:paraId="57B99AB6" w14:textId="43AC391B" w:rsidR="00267BF6" w:rsidRPr="00224F8A" w:rsidRDefault="00267BF6" w:rsidP="00267BF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E276D" w:rsidRPr="008509DF" w14:paraId="0B5B075F" w14:textId="77777777" w:rsidTr="009E276D">
        <w:tc>
          <w:tcPr>
            <w:tcW w:w="2268" w:type="dxa"/>
            <w:shd w:val="clear" w:color="auto" w:fill="auto"/>
          </w:tcPr>
          <w:p w14:paraId="4B36260E" w14:textId="2C043083" w:rsidR="009E276D" w:rsidRPr="00224F8A" w:rsidRDefault="009E276D" w:rsidP="009E276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75ECFE9" w14:textId="39432955" w:rsidR="009E276D" w:rsidRPr="00224F8A" w:rsidRDefault="009E276D" w:rsidP="009E276D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9E276D" w:rsidRPr="008509DF" w14:paraId="592B0378" w14:textId="77777777" w:rsidTr="009E276D">
        <w:tc>
          <w:tcPr>
            <w:tcW w:w="2268" w:type="dxa"/>
            <w:shd w:val="clear" w:color="auto" w:fill="auto"/>
          </w:tcPr>
          <w:tbl>
            <w:tblPr>
              <w:tblW w:w="94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196"/>
            </w:tblGrid>
            <w:tr w:rsidR="009E276D" w:rsidRPr="000A325E" w14:paraId="19ADBD48" w14:textId="77777777" w:rsidTr="008460E6">
              <w:tc>
                <w:tcPr>
                  <w:tcW w:w="2268" w:type="dxa"/>
                  <w:shd w:val="clear" w:color="auto" w:fill="auto"/>
                </w:tcPr>
                <w:p w14:paraId="3E9DCFDE" w14:textId="77777777" w:rsidR="009E276D" w:rsidRPr="000A325E" w:rsidRDefault="009E276D" w:rsidP="009E276D">
                  <w:pPr>
                    <w:spacing w:after="0" w:line="240" w:lineRule="auto"/>
                    <w:ind w:right="122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0A325E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1 </w:t>
                  </w:r>
                </w:p>
                <w:p w14:paraId="473C44F9" w14:textId="77777777" w:rsidR="009E276D" w:rsidRPr="000A325E" w:rsidRDefault="009E276D" w:rsidP="009E276D">
                  <w:pPr>
                    <w:spacing w:after="0" w:line="240" w:lineRule="auto"/>
                    <w:ind w:right="122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0A325E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для отсутствия обременений</w:t>
                  </w:r>
                </w:p>
              </w:tc>
              <w:tc>
                <w:tcPr>
                  <w:tcW w:w="7196" w:type="dxa"/>
                  <w:shd w:val="clear" w:color="auto" w:fill="auto"/>
                </w:tcPr>
                <w:p w14:paraId="6E2EEFAD" w14:textId="77777777" w:rsidR="009E276D" w:rsidRPr="000A325E" w:rsidRDefault="009E276D" w:rsidP="009E276D">
                  <w:pPr>
                    <w:pStyle w:val="a5"/>
                    <w:ind w:left="34"/>
                    <w:jc w:val="both"/>
                    <w:rPr>
                      <w:rFonts w:ascii="Verdana" w:hAnsi="Verdana"/>
                      <w:color w:val="4F81BD" w:themeColor="accent1"/>
                    </w:rPr>
                  </w:pPr>
                  <w:r w:rsidRPr="000A325E">
                    <w:rPr>
                      <w:rFonts w:ascii="Verdana" w:hAnsi="Verdana"/>
                      <w:bCs/>
                    </w:rPr>
                    <w:t>1.5. На дату подписания Договора недвижимое имущество не отчуждено</w:t>
                  </w:r>
                  <w:r w:rsidRPr="000A325E">
                    <w:rPr>
                      <w:rFonts w:ascii="Verdana" w:hAnsi="Verdana"/>
                    </w:rPr>
      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      </w:r>
                </w:p>
              </w:tc>
            </w:tr>
          </w:tbl>
          <w:p w14:paraId="4CCDF9ED" w14:textId="37C5E98E" w:rsidR="009E276D" w:rsidRPr="00224F8A" w:rsidRDefault="009E276D" w:rsidP="009E276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tbl>
            <w:tblPr>
              <w:tblW w:w="701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9"/>
            </w:tblGrid>
            <w:tr w:rsidR="00DC0C07" w:rsidRPr="000A325E" w14:paraId="4363199D" w14:textId="77777777" w:rsidTr="00DC0C07">
              <w:trPr>
                <w:trHeight w:val="337"/>
              </w:trPr>
              <w:tc>
                <w:tcPr>
                  <w:tcW w:w="7019" w:type="dxa"/>
                  <w:shd w:val="clear" w:color="auto" w:fill="auto"/>
                </w:tcPr>
                <w:p w14:paraId="2890503E" w14:textId="77777777" w:rsidR="00DC0C07" w:rsidRPr="000A325E" w:rsidRDefault="00DC0C07" w:rsidP="009E276D">
                  <w:pPr>
                    <w:pStyle w:val="a5"/>
                    <w:ind w:left="34"/>
                    <w:jc w:val="both"/>
                    <w:rPr>
                      <w:rFonts w:ascii="Verdana" w:hAnsi="Verdana"/>
                      <w:color w:val="4F81BD" w:themeColor="accent1"/>
                    </w:rPr>
                  </w:pPr>
                  <w:r w:rsidRPr="000A325E">
                    <w:rPr>
                      <w:rFonts w:ascii="Verdana" w:hAnsi="Verdana"/>
                      <w:bCs/>
                    </w:rPr>
                    <w:t>1.5. На дату подписания Договора недвижимое имущество не отчуждено</w:t>
                  </w:r>
                  <w:r w:rsidRPr="000A325E">
                    <w:rPr>
                      <w:rFonts w:ascii="Verdana" w:hAnsi="Verdana"/>
                    </w:rPr>
      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      </w:r>
                </w:p>
              </w:tc>
            </w:tr>
          </w:tbl>
          <w:p w14:paraId="18D5B26F" w14:textId="609561DE" w:rsidR="009E276D" w:rsidRPr="00224F8A" w:rsidRDefault="009E276D" w:rsidP="009E276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A29B62" w14:textId="2EE556CF" w:rsidR="00BD2793" w:rsidRDefault="00267BF6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 xml:space="preserve">за исключением тех, о которых ему сообщил Продавец, </w:t>
      </w:r>
      <w:r w:rsidRPr="00267BF6">
        <w:rPr>
          <w:rFonts w:ascii="Verdana" w:hAnsi="Verdana" w:cs="Times New Roman"/>
        </w:rPr>
        <w:t>Покупатель уведомлен о необходимости привести недвижимое имущество в соответствие с правилами пожарной безопасности,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8089B" w14:textId="2907CD95" w:rsidR="00B86985" w:rsidRPr="00B86985" w:rsidRDefault="00B86985" w:rsidP="00B86985">
      <w:pPr>
        <w:numPr>
          <w:ilvl w:val="1"/>
          <w:numId w:val="27"/>
        </w:num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Цена недвижимого имущества составляет </w:t>
      </w:r>
      <w:r w:rsidRPr="00B86985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</w:t>
      </w:r>
      <w:r w:rsidR="00E96631" w:rsidRPr="00B86985">
        <w:rPr>
          <w:rFonts w:ascii="Verdana" w:eastAsia="Times New Roman" w:hAnsi="Verdana" w:cs="Times New Roman"/>
          <w:sz w:val="20"/>
          <w:szCs w:val="20"/>
          <w:lang w:eastAsia="ru-RU"/>
        </w:rPr>
        <w:t>НДС не облагается в соответствии с пп.6 п.2 ст. 146 НК РФ)</w:t>
      </w: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), а именно: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294211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3452909D" w:rsidR="00294211" w:rsidRPr="008509DF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E6BB63D" w:rsidR="00294211" w:rsidRPr="008509DF" w:rsidRDefault="00294211" w:rsidP="0054160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294211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AA0DDC5" w14:textId="77777777" w:rsidR="00294211" w:rsidRPr="008076AD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68A782" w14:textId="0AA8C24A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B03A7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 в том числе с использованием кредитных средств Банка </w:t>
            </w:r>
          </w:p>
          <w:p w14:paraId="71EEF101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6A097D7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9EE0347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B006B20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A1A642C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181B2A4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7AF226E" w14:textId="77777777" w:rsidR="00294211" w:rsidRPr="00D22B24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9B6DFE8" w14:textId="196A9656" w:rsidR="003D4110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3D4110" w:rsidRPr="003D4110" w14:paraId="06EF100B" w14:textId="77777777">
              <w:trPr>
                <w:trHeight w:val="87"/>
              </w:trPr>
              <w:tc>
                <w:tcPr>
                  <w:tcW w:w="0" w:type="auto"/>
                </w:tcPr>
                <w:p w14:paraId="77B8C874" w14:textId="4FF1BF55" w:rsidR="003D4110" w:rsidRPr="003D4110" w:rsidRDefault="00B03A77" w:rsidP="00B03A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(</w:t>
                  </w:r>
                  <w:r w:rsidR="003D4110"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с использованием кредитных средств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б</w:t>
                  </w:r>
                  <w:r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анка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)</w:t>
                  </w:r>
                  <w:r w:rsidR="003D4110"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14:paraId="14C8C289" w14:textId="4DC42B1D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4DBBCE3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EA365E" w14:textId="77777777" w:rsidR="00294211" w:rsidRPr="00373E89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0348F30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6B65F283" w14:textId="77777777" w:rsidR="00294211" w:rsidRDefault="00294211" w:rsidP="0029421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(аккредитив или номинальный счет Общества с ограниченной ответственностью «Центр недвижимости от </w:t>
            </w:r>
            <w:r>
              <w:rPr>
                <w:sz w:val="18"/>
                <w:szCs w:val="18"/>
              </w:rPr>
              <w:lastRenderedPageBreak/>
              <w:t xml:space="preserve">Сбербанка» (ООО «ЦНС»)) </w:t>
            </w:r>
          </w:p>
          <w:p w14:paraId="41156FC5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E6DACDC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008D5B07" w:rsidR="00294211" w:rsidRPr="008C63A5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295BC8A1" w14:textId="53196725" w:rsidR="00294211" w:rsidRDefault="00294211" w:rsidP="0029421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ечение 20 (двадцати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25C96D71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3CC2FB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B9540A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2C97C3" w14:textId="434D7016" w:rsidR="00294211" w:rsidRPr="00D94F08" w:rsidRDefault="00294211" w:rsidP="0029421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20 (двадцати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</w:p>
          <w:p w14:paraId="66C6F46C" w14:textId="77777777" w:rsidR="00294211" w:rsidRDefault="00294211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9BB23E" w14:textId="77777777" w:rsidR="00294211" w:rsidRPr="00373E89" w:rsidRDefault="00294211" w:rsidP="00294211">
            <w:pPr>
              <w:rPr>
                <w:rFonts w:ascii="Verdana" w:hAnsi="Verdana"/>
                <w:sz w:val="20"/>
                <w:szCs w:val="20"/>
              </w:rPr>
            </w:pPr>
          </w:p>
          <w:p w14:paraId="6511DAA6" w14:textId="77777777" w:rsidR="00294211" w:rsidRDefault="00294211" w:rsidP="00294211">
            <w:pPr>
              <w:rPr>
                <w:rFonts w:ascii="Verdana" w:hAnsi="Verdana"/>
                <w:sz w:val="20"/>
                <w:szCs w:val="20"/>
              </w:rPr>
            </w:pPr>
          </w:p>
          <w:p w14:paraId="059F27DC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EAD698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D052DC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B80BD9" w14:textId="1F74994F" w:rsidR="00294211" w:rsidRPr="00566401" w:rsidRDefault="00294211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2.2.1.1.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5D6A8B89" w14:textId="364531E2" w:rsidR="00AF721D" w:rsidRPr="00294211" w:rsidRDefault="00294211" w:rsidP="001B57EA">
            <w:pPr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31" w:firstLine="83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Задаток, внесенный Покупателем для участия в аукционе в размере </w:t>
            </w:r>
            <w:r w:rsidR="001B57E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12 900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1B57E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двенадцать тысяч девятьсот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рублей </w:t>
            </w:r>
            <w:r w:rsidR="001B57E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0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0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 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облагается),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засчитывается в счет оплаты цены недвижимого имущества.</w:t>
            </w: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94211" w:rsidRPr="008509DF" w14:paraId="6DD0C0DF" w14:textId="77777777" w:rsidTr="00294211">
        <w:tc>
          <w:tcPr>
            <w:tcW w:w="2757" w:type="dxa"/>
            <w:shd w:val="clear" w:color="auto" w:fill="auto"/>
          </w:tcPr>
          <w:p w14:paraId="4CE4D4E6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DE1A22E" w14:textId="77777777" w:rsidR="00E670E2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E670E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</w:p>
          <w:p w14:paraId="200B7562" w14:textId="4A6957FD" w:rsidR="00E670E2" w:rsidRDefault="00E670E2" w:rsidP="00E670E2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оплате собственными средствами Покупателя</w:t>
            </w:r>
            <w:r w:rsidR="000B1BE2">
              <w:rPr>
                <w:sz w:val="18"/>
                <w:szCs w:val="18"/>
              </w:rPr>
              <w:t xml:space="preserve"> с использованием</w:t>
            </w:r>
            <w:r w:rsidR="00964281">
              <w:rPr>
                <w:sz w:val="18"/>
                <w:szCs w:val="18"/>
              </w:rPr>
              <w:t xml:space="preserve"> расчет</w:t>
            </w:r>
            <w:r w:rsidR="000B1BE2">
              <w:rPr>
                <w:sz w:val="18"/>
                <w:szCs w:val="18"/>
              </w:rPr>
              <w:t>ов по</w:t>
            </w:r>
            <w:r>
              <w:rPr>
                <w:sz w:val="18"/>
                <w:szCs w:val="18"/>
              </w:rPr>
              <w:t xml:space="preserve"> аккредитиву или номинального счета ООО ЦНС </w:t>
            </w:r>
          </w:p>
          <w:p w14:paraId="01C85120" w14:textId="367056AF" w:rsidR="00294211" w:rsidRDefault="00E670E2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  <w:p w14:paraId="7CDCFCBB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4D89669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40F0A18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0030D4B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021B02A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77024C3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43EF6B9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E8C05A7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CC1A79E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C482AF8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7A54C61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B6FE85F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F327B1F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EAA42B4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4CDE9B3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2FDF1002" w:rsidR="00294211" w:rsidRPr="008509DF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627C4D85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5B6CCB2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986809B" w14:textId="4B5C5987" w:rsidR="00294211" w:rsidRDefault="00294211" w:rsidP="0029421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 xml:space="preserve">6.2. </w:t>
            </w:r>
            <w:r w:rsidRPr="008076AD">
              <w:rPr>
                <w:rFonts w:ascii="Verdana" w:hAnsi="Verdana"/>
              </w:rPr>
              <w:t>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</w:t>
            </w:r>
            <w:r>
              <w:rPr>
                <w:rFonts w:ascii="Verdana" w:hAnsi="Verdana"/>
              </w:rPr>
              <w:t xml:space="preserve"> </w:t>
            </w:r>
            <w:r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Pr="008076AD">
              <w:rPr>
                <w:rFonts w:ascii="Verdana" w:hAnsi="Verdana"/>
              </w:rPr>
              <w:t xml:space="preserve">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800A72F" w14:textId="77777777" w:rsidR="00294211" w:rsidRDefault="00294211" w:rsidP="0029421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77777777" w:rsidR="00294211" w:rsidRPr="008509DF" w:rsidRDefault="00294211" w:rsidP="00A73F3F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294211" w:rsidRPr="008509DF" w14:paraId="5EBFA9B6" w14:textId="77777777" w:rsidTr="00294211">
        <w:tc>
          <w:tcPr>
            <w:tcW w:w="2757" w:type="dxa"/>
            <w:shd w:val="clear" w:color="auto" w:fill="auto"/>
          </w:tcPr>
          <w:p w14:paraId="4BDFFCF0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AF763EB" w14:textId="27F442EB" w:rsidR="00294211" w:rsidRPr="008509DF" w:rsidRDefault="00294211" w:rsidP="0029421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</w:p>
          <w:p w14:paraId="730DCAA9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E41D077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  <w:p w14:paraId="5DE71722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201713" w14:textId="40A0F56A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2FC11B51" w:rsidR="00294211" w:rsidRPr="00672CCD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1B75F778" w:rsidR="008A1B72" w:rsidRPr="008509DF" w:rsidRDefault="00294211" w:rsidP="002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2.7. </w:t>
      </w:r>
      <w:r w:rsidRPr="002942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 вправе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</w:t>
      </w:r>
      <w:r w:rsidR="004674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в полном объеме </w:t>
      </w:r>
      <w:r w:rsidRPr="00294211">
        <w:rPr>
          <w:rFonts w:ascii="Verdana" w:eastAsia="Times New Roman" w:hAnsi="Verdana" w:cs="Times New Roman"/>
          <w:sz w:val="20"/>
          <w:szCs w:val="20"/>
          <w:lang w:eastAsia="ru-RU"/>
        </w:rPr>
        <w:t>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2DA7EAA4" w14:textId="454BDE15" w:rsidR="00205AB2" w:rsidRPr="009D296D" w:rsidRDefault="00205AB2" w:rsidP="00205A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Pr="0096428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 w:rsidRPr="009D29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5 (пяти) рабочих дней </w:t>
      </w:r>
    </w:p>
    <w:p w14:paraId="46621939" w14:textId="1541DDD3" w:rsidR="007D5E49" w:rsidRPr="008076AD" w:rsidRDefault="00205AB2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964281">
        <w:rPr>
          <w:rFonts w:ascii="Verdana" w:hAnsi="Verdana"/>
        </w:rPr>
        <w:t xml:space="preserve">с даты поступления на расчетный счет Продавца денежных средств по Договору в полном объеме </w:t>
      </w: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EEF48ED" w14:textId="0C6631BA" w:rsidR="00BD6F1F" w:rsidRDefault="0059581D" w:rsidP="00BD6F1F">
      <w:pPr>
        <w:pStyle w:val="Default"/>
        <w:rPr>
          <w:sz w:val="18"/>
          <w:szCs w:val="18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BD6F1F">
        <w:rPr>
          <w:sz w:val="18"/>
          <w:szCs w:val="18"/>
        </w:rPr>
        <w:t>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bookmarkStart w:id="0" w:name="_GoBack"/>
      <w:bookmarkEnd w:id="0"/>
    </w:p>
    <w:p w14:paraId="0BEE3C6C" w14:textId="7A7017FE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8FA517C" w14:textId="07A82D9A" w:rsidR="00354486" w:rsidRPr="008509DF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="0059313E" w:rsidRPr="0035448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с даты поступления на расчетный счет Продавца денежных средств по Договору в полном объеме</w:t>
            </w:r>
          </w:p>
          <w:p w14:paraId="3E8F24CA" w14:textId="062284C5" w:rsidR="00E450A7" w:rsidRDefault="00354486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8509DF" w:rsidDel="003544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8704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353316DE" w:rsidR="00073672" w:rsidRPr="001C1460" w:rsidRDefault="00E5317E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Pr="00C4052E">
              <w:rPr>
                <w:sz w:val="18"/>
                <w:szCs w:val="18"/>
              </w:rPr>
              <w:t xml:space="preserve"> </w:t>
            </w:r>
            <w:r w:rsidR="007A3022" w:rsidRPr="00C405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дес</w:t>
            </w:r>
            <w:r w:rsidRPr="00C4052E">
              <w:rPr>
                <w:sz w:val="18"/>
                <w:szCs w:val="18"/>
              </w:rPr>
              <w:t>яти</w:t>
            </w:r>
            <w:r w:rsidR="007A3022" w:rsidRPr="00C4052E">
              <w:rPr>
                <w:sz w:val="18"/>
                <w:szCs w:val="18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754C215A" w:rsidR="00566401" w:rsidRDefault="00E5317E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4052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дес</w:t>
            </w:r>
            <w:r w:rsidRPr="00C4052E">
              <w:rPr>
                <w:sz w:val="18"/>
                <w:szCs w:val="18"/>
              </w:rPr>
              <w:t xml:space="preserve">яти)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</w:t>
            </w:r>
            <w:r w:rsidR="00B3589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полном объеме</w:t>
            </w:r>
            <w:r w:rsidR="00B3589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на номинальном счете ООО «ЦНС»</w:t>
            </w:r>
            <w:r w:rsidR="00566401" w:rsidRPr="00487B5E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16CC3705" w14:textId="77777777" w:rsidR="003F535B" w:rsidRPr="003F535B" w:rsidRDefault="003F535B" w:rsidP="003F5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</w:t>
      </w: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вправе в одностороннем внесудебном порядке отказаться  от исполнения Договора (расторгнуть Договор) в следующих случаях:</w:t>
      </w:r>
    </w:p>
    <w:p w14:paraId="6C95F93D" w14:textId="380E6376" w:rsidR="004D0329" w:rsidRPr="008509DF" w:rsidRDefault="003F535B" w:rsidP="003F5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9.2.1.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1D66672F" w:rsidR="00214EE9" w:rsidRPr="00214EE9" w:rsidRDefault="00E72A87" w:rsidP="00FA3B3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 размере и сроки, установленные Договором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367BDE2C" w:rsidR="00214EE9" w:rsidRPr="00214EE9" w:rsidRDefault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4CC15EB1" w:rsidR="00214EE9" w:rsidRPr="00E72A87" w:rsidRDefault="00E72A87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открыт/не продлен аккредитив в установленные Договором сроки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4BE8FBD4" w14:textId="77273BB6" w:rsid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E72A87" w:rsidRPr="00E72A87" w14:paraId="03237432" w14:textId="77777777" w:rsidTr="00D51324">
        <w:tc>
          <w:tcPr>
            <w:tcW w:w="4854" w:type="dxa"/>
            <w:shd w:val="clear" w:color="auto" w:fill="auto"/>
          </w:tcPr>
          <w:p w14:paraId="4F8A5C99" w14:textId="7948FFB4" w:rsidR="00E72A87" w:rsidRPr="00E72A87" w:rsidRDefault="00E72A87" w:rsidP="00D56C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</w:t>
            </w:r>
            <w:r w:rsidRPr="00F70C5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При расчет</w:t>
            </w:r>
            <w:r w:rsidR="00D56C9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ах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номинального счета ООО «ЦНС» </w:t>
            </w:r>
          </w:p>
        </w:tc>
        <w:tc>
          <w:tcPr>
            <w:tcW w:w="4717" w:type="dxa"/>
            <w:shd w:val="clear" w:color="auto" w:fill="auto"/>
          </w:tcPr>
          <w:p w14:paraId="55D0EF97" w14:textId="0F85AD6C" w:rsidR="00E72A87" w:rsidRPr="00E72A87" w:rsidRDefault="00E72A87" w:rsidP="00E72A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размещены денежные средства в установленные Договором сроки</w:t>
            </w:r>
            <w:r w:rsidR="008D0C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/не открыт</w:t>
            </w:r>
            <w:r w:rsidR="002D0A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/не продлен счет ООО «ЦНС»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14:paraId="0A0F2C4E" w14:textId="008694E1" w:rsidR="00E72A87" w:rsidRPr="00E72A87" w:rsidRDefault="00E72A87" w:rsidP="00E72A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55668A" w:rsidRDefault="00046C89" w:rsidP="00F70C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B17B34" w14:textId="6A585515" w:rsidR="00C84E1C" w:rsidRDefault="003F428E" w:rsidP="00C84E1C">
      <w:pPr>
        <w:pStyle w:val="Default"/>
        <w:rPr>
          <w:sz w:val="18"/>
          <w:szCs w:val="18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eastAsia="Times New Roman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eastAsia="Times New Roman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 xml:space="preserve">родавцом Покупателю. </w:t>
      </w:r>
      <w:r w:rsidR="002D0CC3" w:rsidRPr="00E72A87">
        <w:rPr>
          <w:rFonts w:eastAsia="Times New Roman" w:cs="Times New Roman"/>
          <w:i/>
          <w:sz w:val="20"/>
          <w:szCs w:val="20"/>
          <w:lang w:eastAsia="ru-RU"/>
        </w:rPr>
        <w:t xml:space="preserve">При этом Договор считается расторгнутым </w:t>
      </w:r>
      <w:r w:rsidR="00C84E1C">
        <w:rPr>
          <w:rFonts w:eastAsia="Times New Roman" w:cs="Times New Roman"/>
          <w:i/>
          <w:sz w:val="20"/>
          <w:szCs w:val="20"/>
          <w:lang w:eastAsia="ru-RU"/>
        </w:rPr>
        <w:t xml:space="preserve">в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08"/>
      </w:tblGrid>
      <w:tr w:rsidR="00C84E1C" w14:paraId="418F40B0" w14:textId="77777777">
        <w:trPr>
          <w:trHeight w:val="196"/>
        </w:trPr>
        <w:tc>
          <w:tcPr>
            <w:tcW w:w="7008" w:type="dxa"/>
          </w:tcPr>
          <w:p w14:paraId="42473A2A" w14:textId="77777777" w:rsidR="00C84E1C" w:rsidRDefault="00C84E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дату получения Покупателем указанного уведомления. </w:t>
            </w:r>
          </w:p>
        </w:tc>
      </w:tr>
    </w:tbl>
    <w:p w14:paraId="5C794657" w14:textId="7C913B61" w:rsidR="00C71C61" w:rsidRPr="0055668A" w:rsidRDefault="002D0CC3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2A87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563662" w14:textId="78591D55" w:rsidR="00B951BA" w:rsidRDefault="00B951BA" w:rsidP="001B57EA">
      <w:pPr>
        <w:widowControl w:val="0"/>
        <w:autoSpaceDE w:val="0"/>
        <w:autoSpaceDN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889236" w14:textId="77777777" w:rsidR="00B951BA" w:rsidRDefault="00B951B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7856B757" w14:textId="36D1968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9"/>
        <w:gridCol w:w="6596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53F809C9" w14:textId="77777777" w:rsidR="00B951B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18C04ED8" w14:textId="41F1151A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49D66E6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>Адрес: 109004, г. Москва, Известковый пер., д. 3</w:t>
            </w:r>
          </w:p>
          <w:p w14:paraId="45814265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 xml:space="preserve">ИНН 7831001567 </w:t>
            </w:r>
          </w:p>
          <w:p w14:paraId="0ADD096A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>КПП 770901001/997950001</w:t>
            </w:r>
          </w:p>
          <w:p w14:paraId="5CBEF07D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 xml:space="preserve">ОГРН 1027800000480 </w:t>
            </w:r>
            <w:r w:rsidRPr="00B951B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41CC21B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1C471DA" w14:textId="7E4F3F5A" w:rsidR="004816A7" w:rsidRPr="008509DF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Номер счета: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3D06ABDB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="00B951BA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Иванова Н.А.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C3A779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42EC8FB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г. __________                                                                   «___» ________ 20_г.</w:t>
      </w:r>
    </w:p>
    <w:p w14:paraId="47FA8CCE" w14:textId="77777777" w:rsidR="00152A31" w:rsidRDefault="00152A31" w:rsidP="00152A3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</w:pPr>
    </w:p>
    <w:p w14:paraId="787947ED" w14:textId="57ADF771" w:rsidR="00152A31" w:rsidRPr="00152A31" w:rsidRDefault="00152A31" w:rsidP="00152A3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52A31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152A31">
        <w:rPr>
          <w:rFonts w:ascii="Verdana" w:eastAsia="Times New Roman" w:hAnsi="Verdana" w:cs="Times New Roman"/>
          <w:i/>
          <w:sz w:val="20"/>
          <w:szCs w:val="20"/>
          <w:lang w:eastAsia="ru-RU"/>
        </w:rPr>
        <w:t>, именуемое в дальнейшем «Продавец», в лице Ивановой Наталии Александровны, действующей на основании доверенности № 92/2021 от 06 июля 2021 года, удостоверенной нотариусом гор. Москвы Красновым Германом Евгеньевичем, зарегистрировано в реестре № 77/287-Н/77-2021-17-802,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6C5C6836" w:rsidR="00515F5D" w:rsidRPr="003B25F0" w:rsidRDefault="00A73F3F" w:rsidP="00A73F3F">
            <w:pPr>
              <w:widowControl w:val="0"/>
              <w:tabs>
                <w:tab w:val="left" w:pos="810"/>
              </w:tabs>
              <w:rPr>
                <w:rFonts w:ascii="Verdana" w:hAnsi="Verdana"/>
                <w:sz w:val="18"/>
                <w:szCs w:val="18"/>
              </w:rPr>
            </w:pPr>
            <w:r w:rsidRPr="00A73F3F">
              <w:rPr>
                <w:rFonts w:ascii="Verdana" w:hAnsi="Verdana"/>
                <w:sz w:val="18"/>
                <w:szCs w:val="18"/>
              </w:rPr>
              <w:t>Земельный участок, категория земель: земли населенных пунктов, виды разрешенного использования: для ведения личного подсобного хозяйства (полевой участок), общей площадью 1 500 +/- 27кв. м, расположенный по адресу: Свердловская область, ГО Ревда, севернее с. Кунгурка, урочище Дегтяные, сектор Н, участок № 30, кадастровый номер: 66:21:1401002:1110</w:t>
            </w:r>
            <w:r>
              <w:rPr>
                <w:rFonts w:ascii="Verdana" w:hAnsi="Verdana"/>
                <w:sz w:val="18"/>
                <w:szCs w:val="18"/>
              </w:rPr>
              <w:t>. ЗУ</w:t>
            </w:r>
            <w:r w:rsidRPr="00A73F3F">
              <w:rPr>
                <w:rFonts w:ascii="Verdana" w:hAnsi="Verdana"/>
                <w:sz w:val="18"/>
                <w:szCs w:val="18"/>
              </w:rPr>
              <w:t xml:space="preserve"> принадлежит Продавцу на праве собственности на основании: Договор о присоединении АО «РОСТБАНК» к ПАО Национальный банк «Траст» от 28.05.2018г, Передаточный акт от 28.05.2018, о чем в Едином государственном реестре недвижимости сделана запись о регистрации 16.03.2021 № 66:21:1401002:1110-66/129/2021-10, что подтверждается Выпиской из Единого государственного реестра недвижимости от 16.03.2021.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0747516" w14:textId="77777777" w:rsidR="005D2FEF" w:rsidRPr="00DE4A80" w:rsidDel="005D2FE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D2FEF" w:rsidRPr="0055668A" w14:paraId="1A45755B" w14:textId="77777777" w:rsidTr="00671A99">
        <w:tc>
          <w:tcPr>
            <w:tcW w:w="2411" w:type="dxa"/>
            <w:shd w:val="clear" w:color="auto" w:fill="auto"/>
          </w:tcPr>
          <w:p w14:paraId="7EBC8F13" w14:textId="77777777" w:rsidR="005D2FEF" w:rsidRPr="0055668A" w:rsidRDefault="005D2FEF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2C9D40D" w14:textId="77777777" w:rsidR="005D2FEF" w:rsidRPr="0055668A" w:rsidRDefault="005D2FEF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33D8ABD9" w14:textId="77777777" w:rsidR="005D2FEF" w:rsidRPr="0055668A" w:rsidRDefault="005D2FEF" w:rsidP="00671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5D2FEF" w:rsidRPr="0055668A" w14:paraId="546879E7" w14:textId="77777777" w:rsidTr="00671A99">
        <w:tc>
          <w:tcPr>
            <w:tcW w:w="2411" w:type="dxa"/>
            <w:shd w:val="clear" w:color="auto" w:fill="auto"/>
          </w:tcPr>
          <w:p w14:paraId="75B3EF82" w14:textId="77777777" w:rsidR="005D2FEF" w:rsidRPr="0055668A" w:rsidRDefault="005D2FEF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12F84B0F" w14:textId="77777777" w:rsidR="005D2FEF" w:rsidRPr="0055668A" w:rsidRDefault="005D2FEF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64499A" w14:textId="77777777" w:rsidR="005D2FEF" w:rsidRPr="0055668A" w:rsidRDefault="005D2FEF" w:rsidP="00671A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1624B790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29EDF6DF" w14:textId="77777777" w:rsidR="00152A31" w:rsidRDefault="00152A3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52E157B1" w:rsidR="00DD5861" w:rsidRDefault="00152A3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Иванова Н.А.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/_____________/                  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4C4E6E92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C1BAF5E" w14:textId="77777777" w:rsidR="00775555" w:rsidRPr="00F70C5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5"/>
      </w:tblGrid>
      <w:tr w:rsidR="00775555" w14:paraId="7FFA57A9" w14:textId="77777777">
        <w:trPr>
          <w:trHeight w:val="87"/>
        </w:trPr>
        <w:tc>
          <w:tcPr>
            <w:tcW w:w="4465" w:type="dxa"/>
          </w:tcPr>
          <w:p w14:paraId="42242709" w14:textId="77777777" w:rsidR="00775555" w:rsidRDefault="0077555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Банк-эмитент по аккредитиву - из топ-30 по </w:t>
            </w:r>
          </w:p>
        </w:tc>
      </w:tr>
    </w:tbl>
    <w:p w14:paraId="20ABC722" w14:textId="56201241" w:rsidR="00775555" w:rsidRPr="00775555" w:rsidRDefault="00775555" w:rsidP="007755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75555">
        <w:rPr>
          <w:rFonts w:ascii="Verdana" w:hAnsi="Verdana" w:cs="Verdana"/>
          <w:color w:val="000000"/>
          <w:sz w:val="18"/>
          <w:szCs w:val="18"/>
        </w:rPr>
        <w:t xml:space="preserve">объему капитала (прим: рейтинг доступен по ссылке: </w:t>
      </w:r>
      <w:hyperlink r:id="rId8" w:history="1">
        <w:r w:rsidRPr="000F29FB">
          <w:rPr>
            <w:rStyle w:val="af5"/>
            <w:rFonts w:ascii="Verdana" w:hAnsi="Verdana" w:cs="Verdana"/>
            <w:sz w:val="18"/>
            <w:szCs w:val="18"/>
          </w:rPr>
          <w:t>http://vid1.rian.ru/ig/ratings/banki</w:t>
        </w:r>
      </w:hyperlink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3ECF1BD" w14:textId="51A32DAA" w:rsidR="00686D08" w:rsidRPr="000C2791" w:rsidRDefault="00686D08" w:rsidP="00F70C59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</w:t>
      </w:r>
      <w:r w:rsidRPr="000C2791">
        <w:rPr>
          <w:rFonts w:ascii="Verdana" w:hAnsi="Verdana"/>
          <w:i/>
          <w:color w:val="0070C0"/>
        </w:rPr>
        <w:lastRenderedPageBreak/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762C921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</w:t>
      </w:r>
      <w:r w:rsidR="00BA4C0A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  <w:tr w:rsidR="00013BE9" w:rsidRPr="001F4AB1" w14:paraId="2BE4EFCC" w14:textId="77777777" w:rsidTr="00013BE9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BB481" w14:textId="77777777" w:rsidR="00013BE9" w:rsidRPr="001F4AB1" w:rsidRDefault="00013BE9" w:rsidP="001009C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36E8C13C" w14:textId="77777777" w:rsidR="00013BE9" w:rsidRPr="001F4AB1" w:rsidRDefault="00013BE9" w:rsidP="001009C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аев установления залога    Кредитора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9E4C1" w14:textId="77777777" w:rsidR="00013BE9" w:rsidRPr="001F4AB1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FD97E4E" w14:textId="77777777" w:rsidR="00013BE9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744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отражена информация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 залоге в пользу П</w:t>
            </w:r>
            <w:r w:rsidRPr="00F744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родавца и отражена информация о залоге в пользу Кредитора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5CF4708" w14:textId="77777777" w:rsidR="00013BE9" w:rsidRPr="00013BE9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81269E5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="00152A31">
        <w:rPr>
          <w:rFonts w:ascii="Verdana" w:eastAsia="Times New Roman" w:hAnsi="Verdana" w:cs="Times New Roman"/>
          <w:b/>
          <w:sz w:val="20"/>
          <w:szCs w:val="20"/>
          <w:lang w:eastAsia="ru-RU"/>
        </w:rPr>
        <w:t>Иванова Н.А.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6067AA9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38D6" w14:textId="77777777" w:rsidR="003A68E0" w:rsidRDefault="003A68E0" w:rsidP="00E33D4F">
      <w:pPr>
        <w:spacing w:after="0" w:line="240" w:lineRule="auto"/>
      </w:pPr>
      <w:r>
        <w:separator/>
      </w:r>
    </w:p>
  </w:endnote>
  <w:endnote w:type="continuationSeparator" w:id="0">
    <w:p w14:paraId="63608544" w14:textId="77777777" w:rsidR="003A68E0" w:rsidRDefault="003A68E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7D5F86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81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DE11" w14:textId="77777777" w:rsidR="003A68E0" w:rsidRDefault="003A68E0" w:rsidP="00E33D4F">
      <w:pPr>
        <w:spacing w:after="0" w:line="240" w:lineRule="auto"/>
      </w:pPr>
      <w:r>
        <w:separator/>
      </w:r>
    </w:p>
  </w:footnote>
  <w:footnote w:type="continuationSeparator" w:id="0">
    <w:p w14:paraId="1053C501" w14:textId="77777777" w:rsidR="003A68E0" w:rsidRDefault="003A68E0" w:rsidP="00E33D4F">
      <w:pPr>
        <w:spacing w:after="0" w:line="240" w:lineRule="auto"/>
      </w:pPr>
      <w:r>
        <w:continuationSeparator/>
      </w:r>
    </w:p>
  </w:footnote>
  <w:footnote w:id="1">
    <w:p w14:paraId="2D636416" w14:textId="77777777" w:rsidR="00294211" w:rsidRPr="00120657" w:rsidRDefault="0029421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9035D48" w14:textId="77777777" w:rsidR="00294211" w:rsidRPr="00120657" w:rsidRDefault="0029421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3BE9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65CC1"/>
    <w:rsid w:val="0007004A"/>
    <w:rsid w:val="00070501"/>
    <w:rsid w:val="000708B4"/>
    <w:rsid w:val="00072336"/>
    <w:rsid w:val="00073672"/>
    <w:rsid w:val="0007585E"/>
    <w:rsid w:val="00076B43"/>
    <w:rsid w:val="0007761B"/>
    <w:rsid w:val="00077F5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1BE2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6356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088E"/>
    <w:rsid w:val="00121172"/>
    <w:rsid w:val="00121F6D"/>
    <w:rsid w:val="00122945"/>
    <w:rsid w:val="00123209"/>
    <w:rsid w:val="00123641"/>
    <w:rsid w:val="001275DF"/>
    <w:rsid w:val="00131AF5"/>
    <w:rsid w:val="001332FA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2A31"/>
    <w:rsid w:val="00155A4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B57EA"/>
    <w:rsid w:val="001C1460"/>
    <w:rsid w:val="001C19BE"/>
    <w:rsid w:val="001C2235"/>
    <w:rsid w:val="001C4321"/>
    <w:rsid w:val="001C7960"/>
    <w:rsid w:val="001D1EAB"/>
    <w:rsid w:val="001D2ACF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1F6994"/>
    <w:rsid w:val="0020177F"/>
    <w:rsid w:val="002021CA"/>
    <w:rsid w:val="0020454D"/>
    <w:rsid w:val="00205AB2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7B35"/>
    <w:rsid w:val="002613B0"/>
    <w:rsid w:val="002616C6"/>
    <w:rsid w:val="00264A1F"/>
    <w:rsid w:val="00264FB1"/>
    <w:rsid w:val="002675A2"/>
    <w:rsid w:val="00267BF6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4211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0A8A"/>
    <w:rsid w:val="002D0CC3"/>
    <w:rsid w:val="002D2A49"/>
    <w:rsid w:val="002D30C1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5CC0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486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8E0"/>
    <w:rsid w:val="003A6D95"/>
    <w:rsid w:val="003B025F"/>
    <w:rsid w:val="003B25F0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4110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535B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4FA7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484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87B5E"/>
    <w:rsid w:val="00490F8A"/>
    <w:rsid w:val="00493494"/>
    <w:rsid w:val="00496502"/>
    <w:rsid w:val="00497C78"/>
    <w:rsid w:val="004A321F"/>
    <w:rsid w:val="004A3929"/>
    <w:rsid w:val="004A410D"/>
    <w:rsid w:val="004A4409"/>
    <w:rsid w:val="004A608B"/>
    <w:rsid w:val="004A7752"/>
    <w:rsid w:val="004B051A"/>
    <w:rsid w:val="004B5039"/>
    <w:rsid w:val="004B52C4"/>
    <w:rsid w:val="004B717F"/>
    <w:rsid w:val="004B7437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3699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227"/>
    <w:rsid w:val="00526352"/>
    <w:rsid w:val="00526430"/>
    <w:rsid w:val="00530B22"/>
    <w:rsid w:val="00537346"/>
    <w:rsid w:val="0054117F"/>
    <w:rsid w:val="00541604"/>
    <w:rsid w:val="00542717"/>
    <w:rsid w:val="0054280C"/>
    <w:rsid w:val="00545918"/>
    <w:rsid w:val="0055036B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313E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B7503"/>
    <w:rsid w:val="005C3D40"/>
    <w:rsid w:val="005C40A0"/>
    <w:rsid w:val="005C5A2B"/>
    <w:rsid w:val="005C6952"/>
    <w:rsid w:val="005D1C55"/>
    <w:rsid w:val="005D2FEF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5DC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7B2"/>
    <w:rsid w:val="006D4BDE"/>
    <w:rsid w:val="006D7D35"/>
    <w:rsid w:val="006E1CF5"/>
    <w:rsid w:val="006E427F"/>
    <w:rsid w:val="006E4A73"/>
    <w:rsid w:val="006E5F18"/>
    <w:rsid w:val="006E683D"/>
    <w:rsid w:val="006E76AB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633"/>
    <w:rsid w:val="00722BC5"/>
    <w:rsid w:val="007246C9"/>
    <w:rsid w:val="00724FD5"/>
    <w:rsid w:val="00727F00"/>
    <w:rsid w:val="00731F57"/>
    <w:rsid w:val="00732D58"/>
    <w:rsid w:val="0073448E"/>
    <w:rsid w:val="00734A51"/>
    <w:rsid w:val="00734FF4"/>
    <w:rsid w:val="00737CDB"/>
    <w:rsid w:val="007411C4"/>
    <w:rsid w:val="00744679"/>
    <w:rsid w:val="00747C28"/>
    <w:rsid w:val="007504AE"/>
    <w:rsid w:val="007559A0"/>
    <w:rsid w:val="00756737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555"/>
    <w:rsid w:val="0077566E"/>
    <w:rsid w:val="00775AF0"/>
    <w:rsid w:val="007779C1"/>
    <w:rsid w:val="007805CD"/>
    <w:rsid w:val="00782927"/>
    <w:rsid w:val="007905C5"/>
    <w:rsid w:val="007914AB"/>
    <w:rsid w:val="00791981"/>
    <w:rsid w:val="00793723"/>
    <w:rsid w:val="007941A5"/>
    <w:rsid w:val="007943F6"/>
    <w:rsid w:val="007945A6"/>
    <w:rsid w:val="007970D7"/>
    <w:rsid w:val="00797DE8"/>
    <w:rsid w:val="007A18E8"/>
    <w:rsid w:val="007A3022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0F"/>
    <w:rsid w:val="007D77EF"/>
    <w:rsid w:val="007E03CE"/>
    <w:rsid w:val="007E1265"/>
    <w:rsid w:val="007E4C88"/>
    <w:rsid w:val="007E570B"/>
    <w:rsid w:val="007E6711"/>
    <w:rsid w:val="007F17C5"/>
    <w:rsid w:val="007F1ABD"/>
    <w:rsid w:val="007F2257"/>
    <w:rsid w:val="007F3F7E"/>
    <w:rsid w:val="007F5506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2B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0CA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8A0"/>
    <w:rsid w:val="008F194F"/>
    <w:rsid w:val="008F2B5B"/>
    <w:rsid w:val="008F2B99"/>
    <w:rsid w:val="008F55DE"/>
    <w:rsid w:val="008F74DF"/>
    <w:rsid w:val="00903350"/>
    <w:rsid w:val="00903F42"/>
    <w:rsid w:val="00903F5B"/>
    <w:rsid w:val="009059A8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055"/>
    <w:rsid w:val="00941B6B"/>
    <w:rsid w:val="00942488"/>
    <w:rsid w:val="00942D2C"/>
    <w:rsid w:val="009438A1"/>
    <w:rsid w:val="00943FA9"/>
    <w:rsid w:val="00944FA6"/>
    <w:rsid w:val="009459E2"/>
    <w:rsid w:val="00950FF3"/>
    <w:rsid w:val="0095195D"/>
    <w:rsid w:val="00952105"/>
    <w:rsid w:val="009564FC"/>
    <w:rsid w:val="0095727C"/>
    <w:rsid w:val="0096008A"/>
    <w:rsid w:val="009604C2"/>
    <w:rsid w:val="00964281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0C49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96D"/>
    <w:rsid w:val="009D2CE0"/>
    <w:rsid w:val="009D5429"/>
    <w:rsid w:val="009D56EF"/>
    <w:rsid w:val="009D6025"/>
    <w:rsid w:val="009D769C"/>
    <w:rsid w:val="009E0D0E"/>
    <w:rsid w:val="009E1B2D"/>
    <w:rsid w:val="009E2280"/>
    <w:rsid w:val="009E276D"/>
    <w:rsid w:val="009E293B"/>
    <w:rsid w:val="009E3507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3F3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A77"/>
    <w:rsid w:val="00B03BF7"/>
    <w:rsid w:val="00B04710"/>
    <w:rsid w:val="00B0523F"/>
    <w:rsid w:val="00B11325"/>
    <w:rsid w:val="00B13C17"/>
    <w:rsid w:val="00B14DED"/>
    <w:rsid w:val="00B1538F"/>
    <w:rsid w:val="00B15C81"/>
    <w:rsid w:val="00B162F6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5891"/>
    <w:rsid w:val="00B35B3F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7761E"/>
    <w:rsid w:val="00B82BAF"/>
    <w:rsid w:val="00B83979"/>
    <w:rsid w:val="00B84541"/>
    <w:rsid w:val="00B86386"/>
    <w:rsid w:val="00B86985"/>
    <w:rsid w:val="00B87012"/>
    <w:rsid w:val="00B877FA"/>
    <w:rsid w:val="00B92212"/>
    <w:rsid w:val="00B932DF"/>
    <w:rsid w:val="00B94590"/>
    <w:rsid w:val="00B951BA"/>
    <w:rsid w:val="00BA0264"/>
    <w:rsid w:val="00BA030C"/>
    <w:rsid w:val="00BA266F"/>
    <w:rsid w:val="00BA2FBC"/>
    <w:rsid w:val="00BA438A"/>
    <w:rsid w:val="00BA46FD"/>
    <w:rsid w:val="00BA4C0A"/>
    <w:rsid w:val="00BA5903"/>
    <w:rsid w:val="00BA6345"/>
    <w:rsid w:val="00BA6E4B"/>
    <w:rsid w:val="00BA7E01"/>
    <w:rsid w:val="00BB2586"/>
    <w:rsid w:val="00BB2E04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6F1F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52E"/>
    <w:rsid w:val="00C40775"/>
    <w:rsid w:val="00C467C8"/>
    <w:rsid w:val="00C467F6"/>
    <w:rsid w:val="00C469B7"/>
    <w:rsid w:val="00C5074C"/>
    <w:rsid w:val="00C5372D"/>
    <w:rsid w:val="00C55B7E"/>
    <w:rsid w:val="00C56E5D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E1C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27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180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D70"/>
    <w:rsid w:val="00D15A57"/>
    <w:rsid w:val="00D15B87"/>
    <w:rsid w:val="00D16ED6"/>
    <w:rsid w:val="00D16F91"/>
    <w:rsid w:val="00D22955"/>
    <w:rsid w:val="00D24468"/>
    <w:rsid w:val="00D246FA"/>
    <w:rsid w:val="00D27EB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56C98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33B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0C07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BAD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317E"/>
    <w:rsid w:val="00E54B27"/>
    <w:rsid w:val="00E57A0D"/>
    <w:rsid w:val="00E62AAB"/>
    <w:rsid w:val="00E63D94"/>
    <w:rsid w:val="00E651CF"/>
    <w:rsid w:val="00E65C25"/>
    <w:rsid w:val="00E66E4F"/>
    <w:rsid w:val="00E670E2"/>
    <w:rsid w:val="00E71094"/>
    <w:rsid w:val="00E72A87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6631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F1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489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0C59"/>
    <w:rsid w:val="00F71207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3B3D"/>
    <w:rsid w:val="00FA626B"/>
    <w:rsid w:val="00FA659E"/>
    <w:rsid w:val="00FB037F"/>
    <w:rsid w:val="00FB11E2"/>
    <w:rsid w:val="00FB13C0"/>
    <w:rsid w:val="00FB2802"/>
    <w:rsid w:val="00FB4B6F"/>
    <w:rsid w:val="00FB70EE"/>
    <w:rsid w:val="00FB7958"/>
    <w:rsid w:val="00FC085C"/>
    <w:rsid w:val="00FC150E"/>
    <w:rsid w:val="00FC1D8A"/>
    <w:rsid w:val="00FC241B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E7BCA"/>
    <w:rsid w:val="00FF0905"/>
    <w:rsid w:val="00FF1C78"/>
    <w:rsid w:val="00FF2647"/>
    <w:rsid w:val="00FF30BA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5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775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A1A6-2F6A-4AEE-8ADE-A3329F82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Саляхетдинов Данила Джяфярьевич</cp:lastModifiedBy>
  <cp:revision>16</cp:revision>
  <cp:lastPrinted>2021-06-24T12:42:00Z</cp:lastPrinted>
  <dcterms:created xsi:type="dcterms:W3CDTF">2022-01-27T14:50:00Z</dcterms:created>
  <dcterms:modified xsi:type="dcterms:W3CDTF">2022-01-31T12:40:00Z</dcterms:modified>
</cp:coreProperties>
</file>