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7BD1D99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F020BC">
        <w:rPr>
          <w:rFonts w:ascii="Verdana" w:hAnsi="Verdana"/>
          <w:b/>
          <w:sz w:val="20"/>
        </w:rPr>
        <w:t xml:space="preserve">, ИНН </w:t>
      </w:r>
      <w:r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35DA2ED9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F020BC" w:rsidRPr="00F020B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«ТРАСТ», ИНН 7831001567, ОГРН 1027800000480.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65EFC0E1" w14:textId="4B66D158" w:rsidR="002C08C6" w:rsidRPr="002C08C6" w:rsidRDefault="00F020BC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bookmarkStart w:id="0" w:name="_GoBack"/>
            <w:r w:rsidRPr="00F020BC">
              <w:rPr>
                <w:rFonts w:ascii="Verdana" w:hAnsi="Verdana"/>
                <w:iCs/>
                <w:sz w:val="18"/>
                <w:szCs w:val="18"/>
              </w:rPr>
              <w:t>Н</w:t>
            </w:r>
            <w:r w:rsidR="000D01F5">
              <w:rPr>
                <w:rFonts w:ascii="Verdana" w:hAnsi="Verdana"/>
                <w:sz w:val="18"/>
                <w:szCs w:val="18"/>
              </w:rPr>
              <w:t xml:space="preserve">ежилое </w:t>
            </w:r>
            <w:r w:rsidR="000D01F5" w:rsidRPr="000D01F5">
              <w:rPr>
                <w:rFonts w:ascii="Verdana" w:hAnsi="Verdana"/>
                <w:sz w:val="18"/>
                <w:szCs w:val="18"/>
              </w:rPr>
              <w:t>помещение, кадастровый номер 68:29:0207044:36</w:t>
            </w:r>
            <w:r w:rsidR="000D01F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D01F5" w:rsidRPr="000D01F5">
              <w:rPr>
                <w:rFonts w:ascii="Verdana" w:hAnsi="Verdana"/>
                <w:sz w:val="18"/>
                <w:szCs w:val="18"/>
              </w:rPr>
              <w:t>общей площадью 515, 2 кв. м., расположенное по адресу: Тамбовская область, г. Тамбов, Новый проезд, д. 24.</w:t>
            </w:r>
          </w:p>
          <w:bookmarkEnd w:id="0"/>
          <w:p w14:paraId="7222B59C" w14:textId="1FFC8F06" w:rsidR="00515F5D" w:rsidRPr="00CF4FA1" w:rsidRDefault="00515F5D" w:rsidP="002C08C6">
            <w:pPr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7B632150" w14:textId="50AE491E" w:rsidR="00AF721D" w:rsidRPr="000D01F5" w:rsidRDefault="00715CFD" w:rsidP="00F020BC">
            <w:pPr>
              <w:pStyle w:val="a5"/>
              <w:numPr>
                <w:ilvl w:val="1"/>
                <w:numId w:val="2"/>
              </w:numPr>
              <w:ind w:left="-112" w:firstLine="822"/>
              <w:jc w:val="both"/>
              <w:rPr>
                <w:rFonts w:ascii="Verdana" w:hAnsi="Verdana"/>
                <w:i/>
              </w:rPr>
            </w:pPr>
            <w:r w:rsidRPr="002C08C6">
              <w:rPr>
                <w:rFonts w:ascii="Verdana" w:hAnsi="Verdana"/>
              </w:rPr>
              <w:t>Н</w:t>
            </w:r>
            <w:r w:rsidR="00515F5D" w:rsidRPr="002C08C6">
              <w:rPr>
                <w:rFonts w:ascii="Verdana" w:hAnsi="Verdana"/>
              </w:rPr>
              <w:t xml:space="preserve">ежилое </w:t>
            </w:r>
            <w:r w:rsidR="000D01F5">
              <w:rPr>
                <w:rFonts w:ascii="Verdana" w:hAnsi="Verdana"/>
              </w:rPr>
              <w:t>помещение</w:t>
            </w:r>
            <w:r w:rsidR="00AF721D" w:rsidRPr="002C08C6">
              <w:rPr>
                <w:rFonts w:ascii="Verdana" w:hAnsi="Verdana"/>
              </w:rPr>
              <w:t xml:space="preserve"> принадлежит Продавцу на праве собственности</w:t>
            </w:r>
            <w:r w:rsidR="00F020BC">
              <w:rPr>
                <w:rFonts w:ascii="Verdana" w:hAnsi="Verdana"/>
              </w:rPr>
              <w:t>,</w:t>
            </w:r>
            <w:r w:rsidR="00AF721D" w:rsidRPr="002C08C6">
              <w:rPr>
                <w:rFonts w:ascii="Verdana" w:hAnsi="Verdana"/>
              </w:rPr>
              <w:t xml:space="preserve"> о чем в Едином государственном реестре недвижимости сделана запись о регистрации</w:t>
            </w:r>
            <w:r w:rsidR="002A72BE" w:rsidRPr="002C08C6">
              <w:rPr>
                <w:rFonts w:ascii="Verdana" w:hAnsi="Verdana"/>
              </w:rPr>
              <w:t xml:space="preserve"> </w:t>
            </w:r>
            <w:r w:rsidR="00F020BC" w:rsidRPr="00F020BC">
              <w:rPr>
                <w:rFonts w:ascii="Verdana" w:hAnsi="Verdana" w:hint="eastAsia"/>
                <w:i/>
              </w:rPr>
              <w:t>№</w:t>
            </w:r>
            <w:r w:rsidR="00F020BC" w:rsidRPr="00F020BC">
              <w:rPr>
                <w:rFonts w:ascii="Verdana" w:hAnsi="Verdana"/>
                <w:i/>
              </w:rPr>
              <w:t xml:space="preserve"> </w:t>
            </w:r>
            <w:r w:rsidR="000D01F5" w:rsidRPr="000D01F5">
              <w:rPr>
                <w:rFonts w:ascii="Verdana" w:hAnsi="Verdana"/>
                <w:i/>
              </w:rPr>
              <w:t>68-01/31-1/2004-35112</w:t>
            </w:r>
            <w:r w:rsidR="002A72BE" w:rsidRPr="002C08C6">
              <w:rPr>
                <w:rFonts w:ascii="Verdana" w:hAnsi="Verdana"/>
                <w:i/>
              </w:rPr>
              <w:t xml:space="preserve"> от </w:t>
            </w:r>
            <w:r w:rsidR="000D01F5">
              <w:rPr>
                <w:rFonts w:ascii="Verdana" w:hAnsi="Verdana"/>
                <w:i/>
              </w:rPr>
              <w:t>26.05.2005</w:t>
            </w:r>
            <w:r w:rsidR="00AF721D" w:rsidRPr="002C08C6">
              <w:rPr>
                <w:rFonts w:ascii="Verdana" w:hAnsi="Verdana"/>
              </w:rPr>
              <w:t>,</w:t>
            </w:r>
            <w:r w:rsidR="00976D0E">
              <w:rPr>
                <w:rFonts w:ascii="Verdana" w:hAnsi="Verdana"/>
              </w:rPr>
              <w:t xml:space="preserve"> 1/1,</w:t>
            </w:r>
            <w:r w:rsidR="00AF721D" w:rsidRPr="002C08C6">
              <w:rPr>
                <w:rFonts w:ascii="Verdana" w:hAnsi="Verdana"/>
              </w:rPr>
              <w:t xml:space="preserve"> что подтверждается Выпиской из Единого государственного реестра недвижимости</w:t>
            </w:r>
            <w:r w:rsidR="001E1CE5" w:rsidRPr="002C08C6">
              <w:rPr>
                <w:rFonts w:ascii="Verdana" w:hAnsi="Verdana"/>
                <w:i/>
              </w:rPr>
              <w:t xml:space="preserve"> от </w:t>
            </w:r>
            <w:r w:rsidR="000D01F5">
              <w:rPr>
                <w:rFonts w:ascii="Verdana" w:hAnsi="Verdana"/>
                <w:i/>
              </w:rPr>
              <w:t>09.09</w:t>
            </w:r>
            <w:r w:rsidR="00CF4FA1" w:rsidRPr="002C08C6">
              <w:rPr>
                <w:rFonts w:ascii="Verdana" w:hAnsi="Verdana"/>
                <w:i/>
              </w:rPr>
              <w:t>.2021</w:t>
            </w:r>
            <w:r w:rsidR="00515F5D" w:rsidRPr="002C08C6">
              <w:rPr>
                <w:rFonts w:ascii="Verdana" w:hAnsi="Verdana"/>
                <w:i/>
              </w:rPr>
              <w:t xml:space="preserve"> </w:t>
            </w:r>
            <w:r w:rsidR="00F020BC">
              <w:rPr>
                <w:rFonts w:ascii="Verdana" w:hAnsi="Verdana"/>
                <w:i/>
              </w:rPr>
              <w:t xml:space="preserve">№ </w:t>
            </w:r>
            <w:r w:rsidR="000D01F5" w:rsidRPr="000D01F5">
              <w:rPr>
                <w:rFonts w:ascii="Verdana" w:hAnsi="Verdana"/>
                <w:bCs/>
              </w:rPr>
              <w:t>99/2021/416309416</w:t>
            </w:r>
            <w:r w:rsidR="002C08C6">
              <w:rPr>
                <w:rFonts w:ascii="Verdana" w:hAnsi="Verdana"/>
                <w:i/>
              </w:rPr>
              <w:t xml:space="preserve">. 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1C22F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418C3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C54F4CD" w:rsidR="00BD2793" w:rsidRDefault="00F85C01" w:rsidP="0013092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DB7593">
        <w:rPr>
          <w:rFonts w:ascii="Verdana" w:hAnsi="Verdana" w:cs="Verdana"/>
          <w:color w:val="000000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5926E244" w:rsidR="00950FF3" w:rsidRPr="00FC2688" w:rsidRDefault="00950FF3" w:rsidP="002C08C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, при этом стоимость Нежилого здания составляет _______________________________</w:t>
      </w:r>
      <w:r w:rsidR="002C08C6" w:rsidRPr="002C08C6">
        <w:rPr>
          <w:rFonts w:ascii="Verdana" w:hAnsi="Verdana"/>
        </w:rPr>
        <w:t>(__________________) рублей ___ копеек (в том числе НДС, исчисленный в соответствии с действующим законодательством)</w:t>
      </w:r>
      <w:r w:rsidR="002C08C6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4BEF178F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12440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, наименования кредитора, места заключения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03BD416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  <w:r w:rsidR="0012440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наименования кредитора, места заключения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B04FB25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="001C22F8">
              <w:rPr>
                <w:rFonts w:ascii="Verdana" w:hAnsi="Verdana"/>
                <w:i/>
                <w:sz w:val="20"/>
                <w:szCs w:val="20"/>
              </w:rPr>
              <w:t xml:space="preserve">) рабочих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12677FF7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CA4003">
              <w:rPr>
                <w:rFonts w:ascii="Verdana" w:hAnsi="Verdana"/>
              </w:rPr>
              <w:t>1 461 000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2F5DE2">
              <w:rPr>
                <w:rFonts w:ascii="Verdana" w:hAnsi="Verdana"/>
                <w:i/>
              </w:rPr>
              <w:t xml:space="preserve">Один миллион </w:t>
            </w:r>
            <w:r w:rsidR="00CA4003">
              <w:rPr>
                <w:rFonts w:ascii="Verdana" w:hAnsi="Verdana"/>
                <w:i/>
              </w:rPr>
              <w:t>четыреста шестьдесят одна тысяча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00768BA9" w14:textId="44E76C67" w:rsidR="00B871CF" w:rsidRPr="005A19CB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5A19C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B871CF" w:rsidRPr="005A19C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даты поступления на расчетный счет Продавца денежных средств по Договору в полном объеме</w:t>
            </w:r>
          </w:p>
          <w:p w14:paraId="3E8F24CA" w14:textId="2A5A3A1B" w:rsidR="00E450A7" w:rsidRDefault="00B871CF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509DF" w:rsidDel="00B871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8704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141C2E9" w:rsidR="00073672" w:rsidRPr="001C1460" w:rsidRDefault="003102D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10</w:t>
            </w:r>
            <w:r w:rsidR="000D1363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D1363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дес</w:t>
            </w:r>
            <w:r w:rsidR="000D1363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яти</w:t>
            </w:r>
            <w:r w:rsidR="000D1363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10E563DD" w:rsidR="00566401" w:rsidRDefault="00723411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10 </w:t>
            </w:r>
            <w:r w:rsidR="000D1363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дес</w:t>
            </w:r>
            <w:r w:rsidR="000D1363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яти</w:t>
            </w:r>
            <w:r w:rsidR="000D1363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Настоящий Договор вступает в силу с даты его подписания Сторонами и </w:t>
      </w:r>
      <w:r w:rsidRPr="008509DF">
        <w:rPr>
          <w:rFonts w:ascii="Verdana" w:hAnsi="Verdana"/>
        </w:rPr>
        <w:lastRenderedPageBreak/>
        <w:t>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2D641D8B" w:rsidR="00515F5D" w:rsidRPr="000D01F5" w:rsidRDefault="001512BE" w:rsidP="000D01F5">
            <w:pPr>
              <w:widowControl w:val="0"/>
              <w:numPr>
                <w:ilvl w:val="0"/>
                <w:numId w:val="34"/>
              </w:numPr>
              <w:tabs>
                <w:tab w:val="left" w:pos="810"/>
              </w:tabs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1512BE">
              <w:rPr>
                <w:rFonts w:ascii="Verdana" w:hAnsi="Verdana"/>
                <w:iCs/>
                <w:sz w:val="18"/>
                <w:szCs w:val="18"/>
              </w:rPr>
              <w:t>Н</w:t>
            </w:r>
            <w:r w:rsidR="000D01F5">
              <w:rPr>
                <w:rFonts w:ascii="Verdana" w:hAnsi="Verdana"/>
                <w:sz w:val="18"/>
                <w:szCs w:val="18"/>
              </w:rPr>
              <w:t xml:space="preserve">ежилое </w:t>
            </w:r>
            <w:r w:rsidR="000D01F5" w:rsidRPr="000D01F5">
              <w:rPr>
                <w:rFonts w:ascii="Verdana" w:hAnsi="Verdana"/>
                <w:sz w:val="18"/>
                <w:szCs w:val="18"/>
              </w:rPr>
              <w:t>помещение, кадастровый номер 68:29:0207044:36, общей площадью 515, 2 кв. м., расположенное по адресу: Тамбовская область, г. Тамбов, Новый проезд, д. 24.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0D0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605EC83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2F7AD" w16cid:durableId="25644F5D"/>
  <w16cid:commentId w16cid:paraId="64BAF761" w16cid:durableId="25644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95A6" w14:textId="77777777" w:rsidR="00F04E4A" w:rsidRDefault="00F04E4A" w:rsidP="00E33D4F">
      <w:pPr>
        <w:spacing w:after="0" w:line="240" w:lineRule="auto"/>
      </w:pPr>
      <w:r>
        <w:separator/>
      </w:r>
    </w:p>
  </w:endnote>
  <w:endnote w:type="continuationSeparator" w:id="0">
    <w:p w14:paraId="5DF74059" w14:textId="77777777" w:rsidR="00F04E4A" w:rsidRDefault="00F04E4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2D88D9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B7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77EF" w14:textId="77777777" w:rsidR="00F04E4A" w:rsidRDefault="00F04E4A" w:rsidP="00E33D4F">
      <w:pPr>
        <w:spacing w:after="0" w:line="240" w:lineRule="auto"/>
      </w:pPr>
      <w:r>
        <w:separator/>
      </w:r>
    </w:p>
  </w:footnote>
  <w:footnote w:type="continuationSeparator" w:id="0">
    <w:p w14:paraId="4265B249" w14:textId="77777777" w:rsidR="00F04E4A" w:rsidRDefault="00F04E4A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1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5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3"/>
  </w:num>
  <w:num w:numId="17">
    <w:abstractNumId w:val="27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11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01F5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1972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40A"/>
    <w:rsid w:val="001275DF"/>
    <w:rsid w:val="0013092B"/>
    <w:rsid w:val="00131AF5"/>
    <w:rsid w:val="001358A7"/>
    <w:rsid w:val="0013718F"/>
    <w:rsid w:val="00137E3F"/>
    <w:rsid w:val="00140E16"/>
    <w:rsid w:val="00141448"/>
    <w:rsid w:val="001417CE"/>
    <w:rsid w:val="00141890"/>
    <w:rsid w:val="00142A13"/>
    <w:rsid w:val="00144FDC"/>
    <w:rsid w:val="00150E56"/>
    <w:rsid w:val="001512BE"/>
    <w:rsid w:val="00155F3D"/>
    <w:rsid w:val="00156210"/>
    <w:rsid w:val="00156C6F"/>
    <w:rsid w:val="00161C82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22F8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1B99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02D3"/>
    <w:rsid w:val="0031107C"/>
    <w:rsid w:val="00311231"/>
    <w:rsid w:val="00315F29"/>
    <w:rsid w:val="00320FB7"/>
    <w:rsid w:val="00321064"/>
    <w:rsid w:val="0032433B"/>
    <w:rsid w:val="0032754A"/>
    <w:rsid w:val="0033460B"/>
    <w:rsid w:val="00334661"/>
    <w:rsid w:val="00334EE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6F35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FCE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19CB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939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3411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85883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0BB5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0597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8C3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04E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D0E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2AC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D59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1CF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994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003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7EDC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B7593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0D2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136C"/>
    <w:rsid w:val="00EF3982"/>
    <w:rsid w:val="00EF3CB7"/>
    <w:rsid w:val="00EF619B"/>
    <w:rsid w:val="00F00A51"/>
    <w:rsid w:val="00F020BC"/>
    <w:rsid w:val="00F022A3"/>
    <w:rsid w:val="00F04E4A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69CD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A7C9-1204-472D-BF14-32C6EE74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11</cp:revision>
  <cp:lastPrinted>2021-06-24T12:42:00Z</cp:lastPrinted>
  <dcterms:created xsi:type="dcterms:W3CDTF">2022-01-27T15:20:00Z</dcterms:created>
  <dcterms:modified xsi:type="dcterms:W3CDTF">2022-01-31T13:37:00Z</dcterms:modified>
</cp:coreProperties>
</file>